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F4" w:rsidRDefault="00B64BF4" w:rsidP="00F822D8">
      <w:pPr>
        <w:pStyle w:val="Default"/>
        <w:jc w:val="both"/>
        <w:rPr>
          <w:rFonts w:ascii="Arial Narrow" w:hAnsi="Arial Narrow"/>
          <w:b/>
          <w:bCs/>
          <w:sz w:val="28"/>
          <w:szCs w:val="28"/>
        </w:rPr>
      </w:pPr>
    </w:p>
    <w:p w:rsidR="00B64BF4" w:rsidRDefault="00B64BF4" w:rsidP="00F822D8">
      <w:pPr>
        <w:pStyle w:val="Default"/>
        <w:jc w:val="both"/>
        <w:rPr>
          <w:rFonts w:ascii="Arial Narrow" w:hAnsi="Arial Narrow"/>
          <w:b/>
          <w:bCs/>
          <w:sz w:val="28"/>
          <w:szCs w:val="28"/>
        </w:rPr>
      </w:pPr>
    </w:p>
    <w:p w:rsidR="00B64BF4" w:rsidRDefault="00B64BF4" w:rsidP="00F822D8">
      <w:pPr>
        <w:pStyle w:val="Default"/>
        <w:jc w:val="both"/>
        <w:rPr>
          <w:rFonts w:ascii="Arial Narrow" w:hAnsi="Arial Narrow"/>
          <w:b/>
          <w:bCs/>
          <w:sz w:val="28"/>
          <w:szCs w:val="28"/>
        </w:rPr>
      </w:pPr>
    </w:p>
    <w:p w:rsidR="00B64BF4" w:rsidRPr="00C13A3E" w:rsidRDefault="00C13A3E" w:rsidP="00C13A3E">
      <w:pPr>
        <w:pStyle w:val="Default"/>
        <w:jc w:val="both"/>
        <w:rPr>
          <w:rFonts w:ascii="Arial Narrow" w:hAnsi="Arial Narrow"/>
          <w:b/>
          <w:bCs/>
          <w:sz w:val="28"/>
          <w:szCs w:val="28"/>
        </w:rPr>
      </w:pPr>
      <w:r>
        <w:rPr>
          <w:rFonts w:ascii="Arial Narrow" w:hAnsi="Arial Narrow"/>
          <w:b/>
          <w:bCs/>
          <w:sz w:val="28"/>
          <w:szCs w:val="28"/>
        </w:rPr>
        <w:t xml:space="preserve">RBI has completely revised the guidelines on External Commercial Borrowings vide </w:t>
      </w:r>
      <w:r w:rsidR="00B64BF4">
        <w:t xml:space="preserve"> </w:t>
      </w:r>
      <w:r w:rsidR="00B64BF4" w:rsidRPr="002242C4">
        <w:rPr>
          <w:b/>
          <w:bCs/>
          <w:sz w:val="28"/>
          <w:szCs w:val="23"/>
        </w:rPr>
        <w:t>Master Direction - External Commercial Borrowings, Trade Credits and Structured Obligations dated 26.3.2019</w:t>
      </w:r>
      <w:r>
        <w:rPr>
          <w:b/>
          <w:bCs/>
          <w:sz w:val="28"/>
          <w:szCs w:val="23"/>
        </w:rPr>
        <w:t>.</w:t>
      </w:r>
    </w:p>
    <w:p w:rsidR="00B64BF4" w:rsidRDefault="00B64BF4" w:rsidP="00F822D8">
      <w:pPr>
        <w:pStyle w:val="Default"/>
        <w:jc w:val="both"/>
      </w:pPr>
    </w:p>
    <w:p w:rsidR="00B64BF4" w:rsidRDefault="00B64BF4" w:rsidP="00F822D8">
      <w:pPr>
        <w:pStyle w:val="Default"/>
        <w:jc w:val="both"/>
        <w:rPr>
          <w:rFonts w:ascii="Arial Narrow" w:hAnsi="Arial Narrow"/>
          <w:b/>
          <w:bCs/>
          <w:sz w:val="28"/>
          <w:szCs w:val="28"/>
        </w:rPr>
      </w:pPr>
      <w:r>
        <w:t xml:space="preserve"> </w:t>
      </w:r>
      <w:r w:rsidRPr="00B64BF4">
        <w:rPr>
          <w:b/>
          <w:bCs/>
          <w:sz w:val="28"/>
          <w:szCs w:val="23"/>
        </w:rPr>
        <w:t>Master Direction - External Commercial Borrowings, Trade Credits and Structured Obligations</w:t>
      </w:r>
    </w:p>
    <w:p w:rsidR="00B64BF4" w:rsidRDefault="00B64BF4" w:rsidP="00F822D8">
      <w:pPr>
        <w:pStyle w:val="Default"/>
        <w:jc w:val="both"/>
        <w:rPr>
          <w:rFonts w:ascii="Arial Narrow" w:hAnsi="Arial Narrow"/>
          <w:b/>
          <w:bCs/>
          <w:sz w:val="28"/>
          <w:szCs w:val="28"/>
        </w:rPr>
      </w:pP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 Important terms used: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1.1. All-in-Cost: </w:t>
      </w:r>
      <w:r w:rsidRPr="00F6501B">
        <w:rPr>
          <w:rFonts w:ascii="Arial Narrow" w:hAnsi="Arial Narrow"/>
          <w:sz w:val="28"/>
          <w:szCs w:val="28"/>
        </w:rPr>
        <w:t xml:space="preserve">It includes rate of interest, other fees, expenses, charges, guarantee fees, ECA charges, whether paid in foreign currency or INR but will not include commitment fees and withholding tax payable in INR. In the case of fixed rate loans, the swap cost plus spread should not be more than the floating rate plus the applicable spread. Additionally, for FCCBs the issue related expenses should not exceed 4 per cent of issue size and in case of private placement, these expenses should not exceed 2 per cent of the issue size, etc. Under TC Framework, all-in-cost shall include rate of interest, other fees, expenses, charges, guarantee fees whether paid in foreign currency or INR. Withholding tax payable in INR shall not be a part of all-in-cost. Various components of all-in-cost have to be paid by the borrower without taking recourse to the drawdown of ECB/TC, i.e., ECB/TC proceeds cannot be used for payment of interest/charges.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1.2. Approval route: </w:t>
      </w:r>
      <w:r w:rsidRPr="00F6501B">
        <w:rPr>
          <w:rFonts w:ascii="Arial Narrow" w:hAnsi="Arial Narrow"/>
          <w:sz w:val="28"/>
          <w:szCs w:val="28"/>
        </w:rPr>
        <w:t xml:space="preserve">Under the ECB/TC framework, ECB/TC can be raised either under the automatic route or under the approval route. Under the approval route, the prospective borrowers are required to send their requests to the Reserve Bank through their AD Banks for examination.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1.3. Authorised dealer: </w:t>
      </w:r>
      <w:r w:rsidRPr="00F6501B">
        <w:rPr>
          <w:rFonts w:ascii="Arial Narrow" w:hAnsi="Arial Narrow"/>
          <w:sz w:val="28"/>
          <w:szCs w:val="28"/>
        </w:rPr>
        <w:t xml:space="preserve">Means a person authorised as an authorised dealer under subsection (1) of section 10 of the FEMA, 1999 (42 of 1999).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1.4. Automatic route: </w:t>
      </w:r>
      <w:r w:rsidRPr="00F6501B">
        <w:rPr>
          <w:rFonts w:ascii="Arial Narrow" w:hAnsi="Arial Narrow"/>
          <w:sz w:val="28"/>
          <w:szCs w:val="28"/>
        </w:rPr>
        <w:t xml:space="preserve">For the automatic route, the cases are examined by the Authorised Dealer Category-I (AD Category-I) banks.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1.5. Benchmark rate: </w:t>
      </w:r>
      <w:r w:rsidRPr="00F6501B">
        <w:rPr>
          <w:rFonts w:ascii="Arial Narrow" w:hAnsi="Arial Narrow"/>
          <w:sz w:val="28"/>
          <w:szCs w:val="28"/>
        </w:rPr>
        <w:t xml:space="preserve">Benchmark rate in case of FCY ECB/TC refers to 6-months LIBOR rate of different currencies or any other 6-month interbank interest rate applicable to the currency of borrowing, for </w:t>
      </w:r>
      <w:proofErr w:type="spellStart"/>
      <w:r w:rsidRPr="00F6501B">
        <w:rPr>
          <w:rFonts w:ascii="Arial Narrow" w:hAnsi="Arial Narrow"/>
          <w:sz w:val="28"/>
          <w:szCs w:val="28"/>
        </w:rPr>
        <w:t>eg</w:t>
      </w:r>
      <w:proofErr w:type="spellEnd"/>
      <w:r w:rsidRPr="00F6501B">
        <w:rPr>
          <w:rFonts w:ascii="Arial Narrow" w:hAnsi="Arial Narrow"/>
          <w:sz w:val="28"/>
          <w:szCs w:val="28"/>
        </w:rPr>
        <w:t xml:space="preserve">., EURIBOR. Benchmark rate in case of Rupee denominated ECB/TC will be prevailing yield of the Government of India securities of corresponding maturity.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1.6. Designated Authorised Dealer Category I Bank: </w:t>
      </w:r>
      <w:r w:rsidRPr="00F6501B">
        <w:rPr>
          <w:rFonts w:ascii="Arial Narrow" w:hAnsi="Arial Narrow"/>
          <w:sz w:val="28"/>
          <w:szCs w:val="28"/>
        </w:rPr>
        <w:t xml:space="preserve">It is the bank branch which is designated by the ECB/TC borrower for meeting the reporting requirements including obtaining of the LRN/LIN from the Reserve Bank, exercising the delegated powers under these guidelines and monitoring of ECB/TC transactions.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1.7. ECB liability-Equity ratio: </w:t>
      </w:r>
      <w:r w:rsidRPr="00F6501B">
        <w:rPr>
          <w:rFonts w:ascii="Arial Narrow" w:hAnsi="Arial Narrow"/>
          <w:sz w:val="28"/>
          <w:szCs w:val="28"/>
        </w:rPr>
        <w:t xml:space="preserve">For the purpose of ECB liability-equity ratio, ECB amount will include all outstanding amount of all ECBs (other than INR denominated) and the proposed one (only outstanding ECB amounts in case of refinancing) while equity will include the paid-up capital and free reserves (including the share premium received in foreign currency) as per the latest audited balance sheet. Both ECB and equity amounts will be calculated with respect to the foreign equity holder. Where there are more than one foreign equity holders in the borrowing company, the portion of the share premium in </w:t>
      </w:r>
      <w:bookmarkStart w:id="0" w:name="_GoBack"/>
      <w:bookmarkEnd w:id="0"/>
      <w:r w:rsidRPr="00F6501B">
        <w:rPr>
          <w:rFonts w:ascii="Arial Narrow" w:hAnsi="Arial Narrow"/>
          <w:sz w:val="28"/>
          <w:szCs w:val="28"/>
        </w:rPr>
        <w:lastRenderedPageBreak/>
        <w:t xml:space="preserve">foreign currency brought in by the lender(s) concerned shall only be considered for calculating the ratio. The ratio will be calculated as per latest audited balance sheet.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1.8. FATF compliant country: </w:t>
      </w:r>
      <w:r w:rsidRPr="00F6501B">
        <w:rPr>
          <w:rFonts w:ascii="Arial Narrow" w:hAnsi="Arial Narrow"/>
          <w:sz w:val="28"/>
          <w:szCs w:val="28"/>
        </w:rPr>
        <w:t>A country that is a member of Financial Action Task Force (FATF) or a member of a FATF-Style Regional Body; and should not be a country identified in the public statement of the FATF as (</w:t>
      </w:r>
      <w:proofErr w:type="spellStart"/>
      <w:r w:rsidRPr="00F6501B">
        <w:rPr>
          <w:rFonts w:ascii="Arial Narrow" w:hAnsi="Arial Narrow"/>
          <w:sz w:val="28"/>
          <w:szCs w:val="28"/>
        </w:rPr>
        <w:t>i</w:t>
      </w:r>
      <w:proofErr w:type="spellEnd"/>
      <w:r w:rsidRPr="00F6501B">
        <w:rPr>
          <w:rFonts w:ascii="Arial Narrow" w:hAnsi="Arial Narrow"/>
          <w:sz w:val="28"/>
          <w:szCs w:val="28"/>
        </w:rPr>
        <w:t xml:space="preserve">) A jurisdiction having a strategic Anti-Money Laundering or Combating the Financing of Terrorism deficiencies to which counter measures apply; or (ii) A jurisdiction that has not made sufficient progress in addressing the deficiencies or has not committed to an action plan developed with the Financial Action Task Force to address the deficiencies.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1.9. Foreign Currency Convertible Bonds (FCCBs): </w:t>
      </w:r>
      <w:r w:rsidRPr="00F6501B">
        <w:rPr>
          <w:rFonts w:ascii="Arial Narrow" w:hAnsi="Arial Narrow"/>
          <w:sz w:val="28"/>
          <w:szCs w:val="28"/>
        </w:rPr>
        <w:t xml:space="preserve">It refers to foreign currency denominated instruments which are issued in accordance with the Issue of Foreign Currency Convertible Bonds and Ordinary Shares (Through Depositary Receipt Mechanism) Scheme, 1993 as amended from time to time. Issuance of FCCBs shall also conform to other applicable regulations. Further, FCCBs should be without any warrants attached.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1.10. Foreign Currency Exchangeable Bonds (FCEBs): </w:t>
      </w:r>
      <w:r w:rsidRPr="00F6501B">
        <w:rPr>
          <w:rFonts w:ascii="Arial Narrow" w:hAnsi="Arial Narrow"/>
          <w:sz w:val="28"/>
          <w:szCs w:val="28"/>
        </w:rPr>
        <w:t xml:space="preserve">It refers to foreign currency denominated instruments which are issued in accordance with the Issue of Foreign Currency Exchangeable Bonds Scheme, 2008 as amended from time to time. FCEBs are exchangeable into equity share of another company, to be called the Offered Company, in any manner, either wholly, or partly or on the basis of any equity related warrants attached to debt instruments. Issuance of FCEBs shall also conform to other applicable regulations.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1.11. Foreign Equity Holder: </w:t>
      </w:r>
      <w:r w:rsidRPr="00F6501B">
        <w:rPr>
          <w:rFonts w:ascii="Arial Narrow" w:hAnsi="Arial Narrow"/>
          <w:sz w:val="28"/>
          <w:szCs w:val="28"/>
        </w:rPr>
        <w:t xml:space="preserve">It means (a) direct foreign equity holder with minimum 25% direct equity holding by the lender in the borrowing entity, (b) indirect equity holder with minimum indirect equity holding of 51%, or (c) group company with common overseas parent.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1.12. Infrastructure Sector: </w:t>
      </w:r>
      <w:r w:rsidRPr="00F6501B">
        <w:rPr>
          <w:rFonts w:ascii="Arial Narrow" w:hAnsi="Arial Narrow"/>
          <w:sz w:val="28"/>
          <w:szCs w:val="28"/>
        </w:rPr>
        <w:t xml:space="preserve">It has the same meaning as given in the Harmonised Master List of Infrastructure sub-sectors approved by Government of India vide Notification F. No. 13/06/2009-INF as amended / updated from time to time. For the purpose of ECB, “Exploration, Mining and Refinery” sectors will be deemed as in the infrastructure sector.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1.13. Infrastructure Space Companies: </w:t>
      </w:r>
      <w:r w:rsidRPr="00F6501B">
        <w:rPr>
          <w:rFonts w:ascii="Arial Narrow" w:hAnsi="Arial Narrow"/>
          <w:sz w:val="28"/>
          <w:szCs w:val="28"/>
        </w:rPr>
        <w:t xml:space="preserve">Companies in infrastructure sector, Non-Banking Finance Companies undertaking infrastructure financing, Holding Companies/ Core Investment Companies undertaking infrastructure financing, Housing Finance Companies regulated by National Housing Bank and Port Trusts (constituted under the Major Port Trusts Act, 1963 or Indian Ports Act, 1908).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1.14. IOSCO Compliant Country: </w:t>
      </w:r>
      <w:r w:rsidRPr="00F6501B">
        <w:rPr>
          <w:rFonts w:ascii="Arial Narrow" w:hAnsi="Arial Narrow"/>
          <w:sz w:val="28"/>
          <w:szCs w:val="28"/>
        </w:rPr>
        <w:t xml:space="preserve">A country whose securities market regulator is a signatory to the International Organisation of Securities Commission's (IOSCO’s) Multilateral Memorandum of Understanding (Appendix A Signatories) or a signatory to bilateral Memorandum of Understanding with the SEBI for information sharing arrangements.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1.15. Person Resident in India: </w:t>
      </w:r>
      <w:r w:rsidRPr="00F6501B">
        <w:rPr>
          <w:rFonts w:ascii="Arial Narrow" w:hAnsi="Arial Narrow"/>
          <w:sz w:val="28"/>
          <w:szCs w:val="28"/>
        </w:rPr>
        <w:t xml:space="preserve">It shall have the same meanings as assigned to them in Sections 2(v) of the FEMA, 1999.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1.16. Real Estate Activities: </w:t>
      </w:r>
      <w:r w:rsidRPr="00F6501B">
        <w:rPr>
          <w:rFonts w:ascii="Arial Narrow" w:hAnsi="Arial Narrow"/>
          <w:sz w:val="28"/>
          <w:szCs w:val="28"/>
        </w:rPr>
        <w:t xml:space="preserve">Any real estate activity involving own or leased property for buying, selling and renting of commercial and residential properties or land and also includes activities either on a fee or contract basis assigning real estate agents for intermediating in buying, selling, letting or managing real estate. However, this would not include construction/development of industrial parks/integrated township/SEZ, purchase/long term leasing of industrial land as part of new project/modernisation of expansion of existing units or any activity under ‘infrastructure sector’ definition. </w:t>
      </w:r>
    </w:p>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1.17. Special Economic Zone &amp; Free Trade Warehousing Zone: </w:t>
      </w:r>
      <w:r w:rsidRPr="00F6501B">
        <w:rPr>
          <w:rFonts w:ascii="Arial Narrow" w:hAnsi="Arial Narrow"/>
          <w:sz w:val="28"/>
          <w:szCs w:val="28"/>
        </w:rPr>
        <w:t xml:space="preserve">They shall have the same meaning as assigned to them in Special Economic Zones Act 2005 as amended from time to time. </w:t>
      </w:r>
    </w:p>
    <w:p w:rsidR="00F6501B" w:rsidRPr="00F6501B" w:rsidRDefault="00F6501B" w:rsidP="00F822D8">
      <w:pPr>
        <w:pStyle w:val="Default"/>
        <w:jc w:val="both"/>
        <w:rPr>
          <w:rFonts w:ascii="Arial Narrow" w:hAnsi="Arial Narrow"/>
          <w:color w:val="auto"/>
          <w:sz w:val="28"/>
          <w:szCs w:val="28"/>
        </w:rPr>
        <w:sectPr w:rsidR="00F6501B" w:rsidRPr="00F6501B" w:rsidSect="00F822D8">
          <w:footerReference w:type="default" r:id="rId6"/>
          <w:pgSz w:w="17338" w:h="11907" w:orient="landscape"/>
          <w:pgMar w:top="567" w:right="980" w:bottom="454" w:left="480" w:header="720" w:footer="720" w:gutter="0"/>
          <w:cols w:space="720"/>
          <w:noEndnote/>
        </w:sectPr>
      </w:pPr>
    </w:p>
    <w:p w:rsidR="00F6501B" w:rsidRPr="00F6501B" w:rsidRDefault="00F6501B" w:rsidP="00F822D8">
      <w:pPr>
        <w:pStyle w:val="Default"/>
        <w:pageBreakBefore/>
        <w:jc w:val="both"/>
        <w:rPr>
          <w:rFonts w:ascii="Arial Narrow" w:hAnsi="Arial Narrow"/>
          <w:color w:val="auto"/>
          <w:sz w:val="28"/>
          <w:szCs w:val="28"/>
        </w:rPr>
      </w:pPr>
    </w:p>
    <w:p w:rsidR="00F6501B" w:rsidRPr="00F6501B" w:rsidRDefault="00F6501B" w:rsidP="00F822D8">
      <w:pPr>
        <w:pStyle w:val="Default"/>
        <w:jc w:val="both"/>
        <w:rPr>
          <w:rFonts w:ascii="Arial Narrow" w:hAnsi="Arial Narrow"/>
          <w:color w:val="auto"/>
          <w:sz w:val="28"/>
          <w:szCs w:val="28"/>
        </w:rPr>
      </w:pPr>
      <w:r w:rsidRPr="00F6501B">
        <w:rPr>
          <w:rFonts w:ascii="Arial Narrow" w:hAnsi="Arial Narrow"/>
          <w:b/>
          <w:bCs/>
          <w:color w:val="auto"/>
          <w:sz w:val="28"/>
          <w:szCs w:val="28"/>
        </w:rPr>
        <w:t xml:space="preserve">PART I – EXTERNAL COMMERCIAL BORROWINGS FRAMEWORK </w:t>
      </w:r>
    </w:p>
    <w:p w:rsidR="00F6501B" w:rsidRDefault="00F6501B" w:rsidP="00F822D8">
      <w:pPr>
        <w:pStyle w:val="Default"/>
        <w:jc w:val="both"/>
        <w:rPr>
          <w:rFonts w:ascii="Arial Narrow" w:hAnsi="Arial Narrow"/>
          <w:color w:val="auto"/>
          <w:sz w:val="28"/>
          <w:szCs w:val="28"/>
        </w:rPr>
      </w:pPr>
      <w:r w:rsidRPr="00F6501B">
        <w:rPr>
          <w:rFonts w:ascii="Arial Narrow" w:hAnsi="Arial Narrow"/>
          <w:b/>
          <w:bCs/>
          <w:color w:val="auto"/>
          <w:sz w:val="28"/>
          <w:szCs w:val="28"/>
        </w:rPr>
        <w:t xml:space="preserve">2. Introduction: </w:t>
      </w:r>
      <w:r w:rsidRPr="00F6501B">
        <w:rPr>
          <w:rFonts w:ascii="Arial Narrow" w:hAnsi="Arial Narrow"/>
          <w:color w:val="auto"/>
          <w:sz w:val="28"/>
          <w:szCs w:val="28"/>
        </w:rPr>
        <w:t xml:space="preserve">External Commercial Borrowings are commercial loans raised by eligible resident entities from recognised non-resident entities and should conform to parameters such as minimum maturity, permitted and non-permitted end-uses, maximum all-in-cost ceiling, etc. The parameters given below apply in totality and not on a standalone basis. </w:t>
      </w:r>
    </w:p>
    <w:p w:rsidR="00B64BF4" w:rsidRDefault="00B64BF4" w:rsidP="00F822D8">
      <w:pPr>
        <w:pStyle w:val="Default"/>
        <w:jc w:val="both"/>
        <w:rPr>
          <w:rFonts w:ascii="Arial Narrow" w:hAnsi="Arial Narrow"/>
          <w:color w:val="auto"/>
          <w:sz w:val="28"/>
          <w:szCs w:val="28"/>
        </w:rPr>
      </w:pPr>
      <w:r w:rsidRPr="00F6501B">
        <w:rPr>
          <w:rFonts w:ascii="Arial Narrow" w:hAnsi="Arial Narrow"/>
          <w:b/>
          <w:bCs/>
          <w:color w:val="auto"/>
          <w:sz w:val="28"/>
          <w:szCs w:val="28"/>
        </w:rPr>
        <w:t xml:space="preserve">2.1. ECB Framework: </w:t>
      </w:r>
      <w:r w:rsidRPr="00F6501B">
        <w:rPr>
          <w:rFonts w:ascii="Arial Narrow" w:hAnsi="Arial Narrow"/>
          <w:color w:val="auto"/>
          <w:sz w:val="28"/>
          <w:szCs w:val="28"/>
        </w:rPr>
        <w:t>The framework for raising loans through ECB (herein after referred to as the ECB Framework) comprises the following two options:</w:t>
      </w:r>
    </w:p>
    <w:p w:rsidR="00B64BF4" w:rsidRPr="00F6501B" w:rsidRDefault="00B64BF4" w:rsidP="00F822D8">
      <w:pPr>
        <w:pStyle w:val="Default"/>
        <w:jc w:val="both"/>
        <w:rPr>
          <w:rFonts w:ascii="Arial Narrow" w:hAnsi="Arial Narrow"/>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2551"/>
        <w:gridCol w:w="5675"/>
        <w:gridCol w:w="3060"/>
      </w:tblGrid>
      <w:tr w:rsidR="00F6501B" w:rsidRPr="00F6501B" w:rsidTr="00B64BF4">
        <w:trPr>
          <w:trHeight w:val="321"/>
        </w:trPr>
        <w:tc>
          <w:tcPr>
            <w:tcW w:w="954"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Sr. No. </w:t>
            </w:r>
          </w:p>
        </w:tc>
        <w:tc>
          <w:tcPr>
            <w:tcW w:w="2551"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Parameters </w:t>
            </w:r>
          </w:p>
        </w:tc>
        <w:tc>
          <w:tcPr>
            <w:tcW w:w="5675"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FCY denominated ECB </w:t>
            </w:r>
          </w:p>
        </w:tc>
        <w:tc>
          <w:tcPr>
            <w:tcW w:w="3060"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b/>
                <w:bCs/>
                <w:sz w:val="28"/>
                <w:szCs w:val="28"/>
              </w:rPr>
              <w:t xml:space="preserve">INR denominated ECB </w:t>
            </w:r>
          </w:p>
        </w:tc>
      </w:tr>
      <w:tr w:rsidR="00F6501B" w:rsidRPr="00F6501B" w:rsidTr="00B64BF4">
        <w:trPr>
          <w:trHeight w:val="321"/>
        </w:trPr>
        <w:tc>
          <w:tcPr>
            <w:tcW w:w="954" w:type="dxa"/>
          </w:tcPr>
          <w:p w:rsidR="00F6501B" w:rsidRPr="00F6501B" w:rsidRDefault="00F6501B" w:rsidP="00F822D8">
            <w:pPr>
              <w:pStyle w:val="Default"/>
              <w:jc w:val="both"/>
              <w:rPr>
                <w:rFonts w:ascii="Arial Narrow" w:hAnsi="Arial Narrow"/>
                <w:sz w:val="28"/>
                <w:szCs w:val="28"/>
              </w:rPr>
            </w:pPr>
            <w:proofErr w:type="spellStart"/>
            <w:r w:rsidRPr="00F6501B">
              <w:rPr>
                <w:rFonts w:ascii="Arial Narrow" w:hAnsi="Arial Narrow"/>
                <w:sz w:val="28"/>
                <w:szCs w:val="28"/>
              </w:rPr>
              <w:t>i</w:t>
            </w:r>
            <w:proofErr w:type="spellEnd"/>
            <w:r w:rsidRPr="00F6501B">
              <w:rPr>
                <w:rFonts w:ascii="Arial Narrow" w:hAnsi="Arial Narrow"/>
                <w:sz w:val="28"/>
                <w:szCs w:val="28"/>
              </w:rPr>
              <w:t xml:space="preserve"> </w:t>
            </w:r>
          </w:p>
        </w:tc>
        <w:tc>
          <w:tcPr>
            <w:tcW w:w="2551"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Currency of borrowing </w:t>
            </w:r>
          </w:p>
        </w:tc>
        <w:tc>
          <w:tcPr>
            <w:tcW w:w="5675"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Any freely convertible Foreign Currency </w:t>
            </w:r>
          </w:p>
        </w:tc>
        <w:tc>
          <w:tcPr>
            <w:tcW w:w="3060"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Indian Rupee (INR) </w:t>
            </w:r>
          </w:p>
        </w:tc>
      </w:tr>
      <w:tr w:rsidR="00F6501B" w:rsidRPr="00F6501B" w:rsidTr="00B64BF4">
        <w:trPr>
          <w:trHeight w:val="2005"/>
        </w:trPr>
        <w:tc>
          <w:tcPr>
            <w:tcW w:w="954"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ii </w:t>
            </w:r>
          </w:p>
        </w:tc>
        <w:tc>
          <w:tcPr>
            <w:tcW w:w="2551"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Forms of ECB </w:t>
            </w:r>
          </w:p>
        </w:tc>
        <w:tc>
          <w:tcPr>
            <w:tcW w:w="5675"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Loans including bank loans; floating/ fixed rate notes/ bonds/ debentures (other than fully and compulsorily convertible instruments); Trade credits beyond 3 years; FCCBs; FCEBs and Financial Lease. </w:t>
            </w:r>
          </w:p>
        </w:tc>
        <w:tc>
          <w:tcPr>
            <w:tcW w:w="3060"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Loans including bank loans; floating/ fixed rate notes/bonds/ debentures/ preference shares (other than fully and compulsorily convertible instruments); Trade credits beyond 3 years; and Financial Lease. Also, plain vanilla Rupee denominated bonds issued overseas, which can be either placed privately or listed on exchanges as per host country regulations. </w:t>
            </w:r>
          </w:p>
        </w:tc>
      </w:tr>
      <w:tr w:rsidR="00F6501B" w:rsidRPr="00F6501B" w:rsidTr="00B64BF4">
        <w:trPr>
          <w:trHeight w:val="1500"/>
        </w:trPr>
        <w:tc>
          <w:tcPr>
            <w:tcW w:w="954"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iii </w:t>
            </w:r>
          </w:p>
        </w:tc>
        <w:tc>
          <w:tcPr>
            <w:tcW w:w="2551"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Eligible borrowers </w:t>
            </w:r>
          </w:p>
        </w:tc>
        <w:tc>
          <w:tcPr>
            <w:tcW w:w="5675"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All entities eligible to receive FDI. Further, the following entities are also eligible to raise ECB: </w:t>
            </w:r>
          </w:p>
          <w:p w:rsidR="00F6501B" w:rsidRPr="00F6501B" w:rsidRDefault="00F6501B" w:rsidP="00F822D8">
            <w:pPr>
              <w:pStyle w:val="Default"/>
              <w:jc w:val="both"/>
              <w:rPr>
                <w:rFonts w:ascii="Arial Narrow" w:hAnsi="Arial Narrow"/>
                <w:sz w:val="28"/>
                <w:szCs w:val="28"/>
              </w:rPr>
            </w:pPr>
            <w:proofErr w:type="spellStart"/>
            <w:r w:rsidRPr="00F6501B">
              <w:rPr>
                <w:rFonts w:ascii="Arial Narrow" w:hAnsi="Arial Narrow"/>
                <w:sz w:val="28"/>
                <w:szCs w:val="28"/>
              </w:rPr>
              <w:t>i</w:t>
            </w:r>
            <w:proofErr w:type="spellEnd"/>
            <w:r w:rsidRPr="00F6501B">
              <w:rPr>
                <w:rFonts w:ascii="Arial Narrow" w:hAnsi="Arial Narrow"/>
                <w:sz w:val="28"/>
                <w:szCs w:val="28"/>
              </w:rPr>
              <w:t xml:space="preserve">. Port Trusts; </w:t>
            </w:r>
          </w:p>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ii. Units in SEZ; </w:t>
            </w:r>
          </w:p>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iii. SIDBI; and </w:t>
            </w:r>
          </w:p>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iv. EXIM Bank of India. </w:t>
            </w:r>
          </w:p>
          <w:p w:rsidR="00F6501B" w:rsidRPr="00F6501B" w:rsidRDefault="00F6501B" w:rsidP="00F822D8">
            <w:pPr>
              <w:pStyle w:val="Default"/>
              <w:jc w:val="both"/>
              <w:rPr>
                <w:rFonts w:ascii="Arial Narrow" w:hAnsi="Arial Narrow"/>
                <w:sz w:val="28"/>
                <w:szCs w:val="28"/>
              </w:rPr>
            </w:pPr>
          </w:p>
        </w:tc>
        <w:tc>
          <w:tcPr>
            <w:tcW w:w="3060" w:type="dxa"/>
          </w:tcPr>
          <w:p w:rsidR="00F6501B" w:rsidRPr="00F6501B" w:rsidRDefault="00F6501B" w:rsidP="00F822D8">
            <w:pPr>
              <w:pStyle w:val="Default"/>
              <w:jc w:val="both"/>
              <w:rPr>
                <w:rFonts w:ascii="Arial Narrow" w:hAnsi="Arial Narrow"/>
                <w:color w:val="auto"/>
                <w:sz w:val="28"/>
                <w:szCs w:val="28"/>
              </w:rPr>
            </w:pPr>
          </w:p>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a) All entities eligible to raise FCY ECB; and </w:t>
            </w:r>
          </w:p>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b) Registered entities engaged in micro-finance activities, viz., registered </w:t>
            </w:r>
            <w:r w:rsidRPr="00F6501B">
              <w:rPr>
                <w:rFonts w:ascii="Arial Narrow" w:hAnsi="Arial Narrow"/>
                <w:sz w:val="28"/>
                <w:szCs w:val="28"/>
              </w:rPr>
              <w:lastRenderedPageBreak/>
              <w:t xml:space="preserve">Not for Profit companies, registered societies/trusts/ cooperatives and Non-Government Organisations. </w:t>
            </w:r>
          </w:p>
          <w:p w:rsidR="00F6501B" w:rsidRPr="00F6501B" w:rsidRDefault="00F6501B" w:rsidP="00F822D8">
            <w:pPr>
              <w:pStyle w:val="Default"/>
              <w:jc w:val="both"/>
              <w:rPr>
                <w:rFonts w:ascii="Arial Narrow" w:hAnsi="Arial Narrow"/>
                <w:sz w:val="28"/>
                <w:szCs w:val="28"/>
              </w:rPr>
            </w:pPr>
          </w:p>
        </w:tc>
      </w:tr>
      <w:tr w:rsidR="00F6501B" w:rsidRPr="00F6501B" w:rsidTr="00B64BF4">
        <w:trPr>
          <w:trHeight w:val="1500"/>
        </w:trPr>
        <w:tc>
          <w:tcPr>
            <w:tcW w:w="954"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lastRenderedPageBreak/>
              <w:t xml:space="preserve">iv </w:t>
            </w:r>
          </w:p>
        </w:tc>
        <w:tc>
          <w:tcPr>
            <w:tcW w:w="2551" w:type="dxa"/>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Recognised lenders </w:t>
            </w:r>
          </w:p>
        </w:tc>
        <w:tc>
          <w:tcPr>
            <w:tcW w:w="8735" w:type="dxa"/>
            <w:gridSpan w:val="2"/>
          </w:tcPr>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The lender should be resident of FATF or IOSCO compliant country, including on transfer of ECBs. However, </w:t>
            </w:r>
          </w:p>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a) Multilateral and Regional Financial Institutions where India is a member country will also be considered as recognised lenders; </w:t>
            </w:r>
          </w:p>
          <w:p w:rsidR="00F6501B" w:rsidRP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b) Individuals as lenders can only be permitted if they are foreign equity holders or for subscription to bonds/debentures listed abroad; and </w:t>
            </w:r>
          </w:p>
          <w:p w:rsidR="00F6501B" w:rsidRDefault="00F6501B" w:rsidP="00F822D8">
            <w:pPr>
              <w:pStyle w:val="Default"/>
              <w:jc w:val="both"/>
              <w:rPr>
                <w:rFonts w:ascii="Arial Narrow" w:hAnsi="Arial Narrow"/>
                <w:sz w:val="28"/>
                <w:szCs w:val="28"/>
              </w:rPr>
            </w:pPr>
            <w:r w:rsidRPr="00F6501B">
              <w:rPr>
                <w:rFonts w:ascii="Arial Narrow" w:hAnsi="Arial Narrow"/>
                <w:sz w:val="28"/>
                <w:szCs w:val="28"/>
              </w:rPr>
              <w:t xml:space="preserve">c) Foreign branches / subsidiaries of Indian banks are permitted as recognised lenders only for FCY ECB (except FCCBs and FCEBs). </w:t>
            </w:r>
          </w:p>
          <w:p w:rsidR="00B64BF4" w:rsidRPr="00F6501B" w:rsidRDefault="00B64BF4" w:rsidP="00F822D8">
            <w:pPr>
              <w:pStyle w:val="Default"/>
              <w:jc w:val="both"/>
              <w:rPr>
                <w:rFonts w:ascii="Arial Narrow" w:hAnsi="Arial Narrow"/>
                <w:sz w:val="28"/>
                <w:szCs w:val="28"/>
              </w:rPr>
            </w:pPr>
            <w:r w:rsidRPr="00B64BF4">
              <w:rPr>
                <w:rFonts w:ascii="Arial Narrow" w:hAnsi="Arial Narrow"/>
                <w:sz w:val="28"/>
                <w:szCs w:val="28"/>
              </w:rPr>
              <w:t>Foreign branches / subsidiaries of Indian banks, subject to applicable prudential norms, can participate as arrangers/underwriters/market-makers/traders for Rupee denominated Bonds issued overseas. However, underwriting by foreign branches/subsidiaries of Indian banks for issuances by Indian banks will not be allowed.</w:t>
            </w:r>
          </w:p>
          <w:p w:rsidR="00F6501B" w:rsidRPr="00F6501B" w:rsidRDefault="00F6501B" w:rsidP="00F822D8">
            <w:pPr>
              <w:pStyle w:val="Default"/>
              <w:jc w:val="both"/>
              <w:rPr>
                <w:rFonts w:ascii="Arial Narrow" w:hAnsi="Arial Narrow"/>
                <w:sz w:val="28"/>
                <w:szCs w:val="28"/>
              </w:rPr>
            </w:pPr>
          </w:p>
        </w:tc>
      </w:tr>
      <w:tr w:rsidR="00F822D8" w:rsidTr="00B64BF4">
        <w:trPr>
          <w:trHeight w:val="1500"/>
        </w:trPr>
        <w:tc>
          <w:tcPr>
            <w:tcW w:w="954" w:type="dxa"/>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v </w:t>
            </w:r>
          </w:p>
        </w:tc>
        <w:tc>
          <w:tcPr>
            <w:tcW w:w="2551" w:type="dxa"/>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Minimum Average Maturity Period (MAMP) </w:t>
            </w:r>
          </w:p>
        </w:tc>
        <w:tc>
          <w:tcPr>
            <w:tcW w:w="8735" w:type="dxa"/>
            <w:gridSpan w:val="2"/>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Minimum average maturity period will be 3 years. However, manufacturing sector companies may raise ECBs with MAMP of 1 year for ECB up to USD 50 million or its equivalent per financial year. Further, if the ECB is raised from foreign equity holder and utilised for working capital purposes, general corporate purposes or repayment of Rupee loans, MAMP will be 5 years. The call and put option, if any, shall not be exercisable prior to completion of minimum average maturity. </w:t>
            </w:r>
          </w:p>
        </w:tc>
      </w:tr>
      <w:tr w:rsidR="00F822D8" w:rsidTr="009140C0">
        <w:trPr>
          <w:trHeight w:val="754"/>
        </w:trPr>
        <w:tc>
          <w:tcPr>
            <w:tcW w:w="954" w:type="dxa"/>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vi </w:t>
            </w:r>
          </w:p>
        </w:tc>
        <w:tc>
          <w:tcPr>
            <w:tcW w:w="2551" w:type="dxa"/>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All-in-cost ceiling per annum </w:t>
            </w:r>
          </w:p>
        </w:tc>
        <w:tc>
          <w:tcPr>
            <w:tcW w:w="8735" w:type="dxa"/>
            <w:gridSpan w:val="2"/>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Benchmark rate plus 450 bps spread. </w:t>
            </w:r>
          </w:p>
        </w:tc>
      </w:tr>
      <w:tr w:rsidR="00F822D8" w:rsidTr="00B64BF4">
        <w:trPr>
          <w:trHeight w:val="1500"/>
        </w:trPr>
        <w:tc>
          <w:tcPr>
            <w:tcW w:w="954" w:type="dxa"/>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lastRenderedPageBreak/>
              <w:t xml:space="preserve">vii </w:t>
            </w:r>
          </w:p>
        </w:tc>
        <w:tc>
          <w:tcPr>
            <w:tcW w:w="2551" w:type="dxa"/>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Other costs </w:t>
            </w:r>
          </w:p>
        </w:tc>
        <w:tc>
          <w:tcPr>
            <w:tcW w:w="8735" w:type="dxa"/>
            <w:gridSpan w:val="2"/>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Prepayment charge/ Penal interest, if any, for default or breach of covenants should not be more than 2 per cent over and above the contracted rate of interest on the outstanding principal amount and will be outside the all-in-cost ceiling. </w:t>
            </w:r>
          </w:p>
        </w:tc>
      </w:tr>
      <w:tr w:rsidR="00F822D8" w:rsidTr="00B64BF4">
        <w:trPr>
          <w:trHeight w:val="1500"/>
        </w:trPr>
        <w:tc>
          <w:tcPr>
            <w:tcW w:w="954" w:type="dxa"/>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viii </w:t>
            </w:r>
          </w:p>
        </w:tc>
        <w:tc>
          <w:tcPr>
            <w:tcW w:w="2551" w:type="dxa"/>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End-uses (Negative list) </w:t>
            </w:r>
          </w:p>
        </w:tc>
        <w:tc>
          <w:tcPr>
            <w:tcW w:w="8735" w:type="dxa"/>
            <w:gridSpan w:val="2"/>
            <w:tcBorders>
              <w:top w:val="single" w:sz="4" w:space="0" w:color="auto"/>
              <w:left w:val="single" w:sz="4" w:space="0" w:color="auto"/>
              <w:bottom w:val="single" w:sz="4" w:space="0" w:color="auto"/>
              <w:right w:val="single" w:sz="4" w:space="0" w:color="auto"/>
            </w:tcBorders>
          </w:tcPr>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The negative list, for which the ECB proceeds cannot be utilised, would include the following: </w:t>
            </w:r>
          </w:p>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a) Real estate activities. </w:t>
            </w:r>
          </w:p>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b) Investment in capital market. </w:t>
            </w:r>
          </w:p>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c) Equity investment. </w:t>
            </w:r>
          </w:p>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d) Working capital purposes except from foreign equity holder. </w:t>
            </w:r>
          </w:p>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e) General corporate purposes except from foreign equity holder. </w:t>
            </w:r>
          </w:p>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f) Repayment of Rupee loans except from foreign equity holder. </w:t>
            </w:r>
          </w:p>
          <w:p w:rsidR="00B64BF4" w:rsidRPr="00B64BF4" w:rsidRDefault="00B64BF4" w:rsidP="00F822D8">
            <w:pPr>
              <w:pStyle w:val="Default"/>
              <w:jc w:val="both"/>
              <w:rPr>
                <w:rFonts w:ascii="Arial Narrow" w:hAnsi="Arial Narrow"/>
                <w:sz w:val="28"/>
                <w:szCs w:val="28"/>
              </w:rPr>
            </w:pPr>
            <w:r w:rsidRPr="00B64BF4">
              <w:rPr>
                <w:rFonts w:ascii="Arial Narrow" w:hAnsi="Arial Narrow"/>
                <w:sz w:val="28"/>
                <w:szCs w:val="28"/>
              </w:rPr>
              <w:t xml:space="preserve">g) On-lending to entities for the above activities. </w:t>
            </w:r>
          </w:p>
          <w:p w:rsidR="00B64BF4" w:rsidRPr="00B64BF4" w:rsidRDefault="00B64BF4" w:rsidP="00F822D8">
            <w:pPr>
              <w:pStyle w:val="Default"/>
              <w:jc w:val="both"/>
              <w:rPr>
                <w:rFonts w:ascii="Arial Narrow" w:hAnsi="Arial Narrow"/>
                <w:sz w:val="28"/>
                <w:szCs w:val="28"/>
              </w:rPr>
            </w:pPr>
          </w:p>
        </w:tc>
      </w:tr>
    </w:tbl>
    <w:p w:rsidR="003F7ADC" w:rsidRDefault="003F7ADC" w:rsidP="00F822D8">
      <w:pPr>
        <w:jc w:val="both"/>
        <w:rPr>
          <w:rFonts w:ascii="Arial Narrow" w:hAnsi="Arial Narrow"/>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2"/>
        <w:gridCol w:w="2562"/>
        <w:gridCol w:w="5702"/>
        <w:gridCol w:w="3006"/>
      </w:tblGrid>
      <w:tr w:rsidR="00D261F0" w:rsidRPr="00B64BF4" w:rsidTr="00D261F0">
        <w:trPr>
          <w:trHeight w:val="1531"/>
        </w:trPr>
        <w:tc>
          <w:tcPr>
            <w:tcW w:w="962" w:type="dxa"/>
          </w:tcPr>
          <w:p w:rsidR="00B64BF4" w:rsidRPr="00B64BF4" w:rsidRDefault="00B64BF4" w:rsidP="00F822D8">
            <w:pPr>
              <w:jc w:val="both"/>
              <w:rPr>
                <w:rFonts w:ascii="Arial Narrow" w:hAnsi="Arial Narrow"/>
                <w:sz w:val="28"/>
                <w:szCs w:val="28"/>
              </w:rPr>
            </w:pPr>
            <w:r w:rsidRPr="00B64BF4">
              <w:rPr>
                <w:rFonts w:ascii="Arial Narrow" w:hAnsi="Arial Narrow"/>
                <w:sz w:val="28"/>
                <w:szCs w:val="28"/>
              </w:rPr>
              <w:t xml:space="preserve">ix </w:t>
            </w:r>
          </w:p>
        </w:tc>
        <w:tc>
          <w:tcPr>
            <w:tcW w:w="2562" w:type="dxa"/>
          </w:tcPr>
          <w:p w:rsidR="00B64BF4" w:rsidRPr="00B64BF4" w:rsidRDefault="00B64BF4" w:rsidP="00F822D8">
            <w:pPr>
              <w:jc w:val="both"/>
              <w:rPr>
                <w:rFonts w:ascii="Arial Narrow" w:hAnsi="Arial Narrow"/>
                <w:sz w:val="28"/>
                <w:szCs w:val="28"/>
              </w:rPr>
            </w:pPr>
            <w:r w:rsidRPr="00B64BF4">
              <w:rPr>
                <w:rFonts w:ascii="Arial Narrow" w:hAnsi="Arial Narrow"/>
                <w:sz w:val="28"/>
                <w:szCs w:val="28"/>
              </w:rPr>
              <w:t xml:space="preserve">Exchange rate </w:t>
            </w:r>
          </w:p>
        </w:tc>
        <w:tc>
          <w:tcPr>
            <w:tcW w:w="5702" w:type="dxa"/>
          </w:tcPr>
          <w:p w:rsidR="00B64BF4" w:rsidRPr="00B64BF4" w:rsidRDefault="00B64BF4" w:rsidP="00F822D8">
            <w:pPr>
              <w:jc w:val="both"/>
              <w:rPr>
                <w:rFonts w:ascii="Arial Narrow" w:hAnsi="Arial Narrow"/>
                <w:sz w:val="28"/>
                <w:szCs w:val="28"/>
              </w:rPr>
            </w:pPr>
            <w:r w:rsidRPr="00B64BF4">
              <w:rPr>
                <w:rFonts w:ascii="Arial Narrow" w:hAnsi="Arial Narrow"/>
                <w:sz w:val="28"/>
                <w:szCs w:val="28"/>
              </w:rPr>
              <w:t xml:space="preserve">Change of currency of FCY ECB into INR ECB can be at the exchange rate prevailing on the date of the agreement between the parties concerned for such change or at an exchange rate, which is less than the rate prevailing on the date of agreement, if consented to by the ECB lender. </w:t>
            </w:r>
          </w:p>
        </w:tc>
        <w:tc>
          <w:tcPr>
            <w:tcW w:w="3006" w:type="dxa"/>
          </w:tcPr>
          <w:p w:rsidR="00B64BF4" w:rsidRPr="00B64BF4" w:rsidRDefault="00B64BF4" w:rsidP="00F822D8">
            <w:pPr>
              <w:jc w:val="both"/>
              <w:rPr>
                <w:rFonts w:ascii="Arial Narrow" w:hAnsi="Arial Narrow"/>
                <w:sz w:val="28"/>
                <w:szCs w:val="28"/>
              </w:rPr>
            </w:pPr>
            <w:r w:rsidRPr="00B64BF4">
              <w:rPr>
                <w:rFonts w:ascii="Arial Narrow" w:hAnsi="Arial Narrow"/>
                <w:sz w:val="28"/>
                <w:szCs w:val="28"/>
              </w:rPr>
              <w:t xml:space="preserve">For conversion to Rupee, exchange rate shall be the rate prevailing on the date of settlement. </w:t>
            </w:r>
          </w:p>
        </w:tc>
      </w:tr>
      <w:tr w:rsidR="00682C05" w:rsidRPr="00B64BF4" w:rsidTr="00D372CC">
        <w:trPr>
          <w:trHeight w:val="2150"/>
        </w:trPr>
        <w:tc>
          <w:tcPr>
            <w:tcW w:w="962" w:type="dxa"/>
            <w:tcBorders>
              <w:bottom w:val="single" w:sz="4" w:space="0" w:color="auto"/>
            </w:tcBorders>
          </w:tcPr>
          <w:p w:rsidR="00682C05" w:rsidRPr="00B64BF4" w:rsidRDefault="00682C05" w:rsidP="00F822D8">
            <w:pPr>
              <w:jc w:val="both"/>
              <w:rPr>
                <w:rFonts w:ascii="Arial Narrow" w:hAnsi="Arial Narrow"/>
                <w:sz w:val="28"/>
                <w:szCs w:val="28"/>
              </w:rPr>
            </w:pPr>
            <w:r w:rsidRPr="00B64BF4">
              <w:rPr>
                <w:rFonts w:ascii="Arial Narrow" w:hAnsi="Arial Narrow"/>
                <w:sz w:val="28"/>
                <w:szCs w:val="28"/>
              </w:rPr>
              <w:t xml:space="preserve">x </w:t>
            </w:r>
          </w:p>
        </w:tc>
        <w:tc>
          <w:tcPr>
            <w:tcW w:w="2562" w:type="dxa"/>
            <w:tcBorders>
              <w:bottom w:val="single" w:sz="4" w:space="0" w:color="auto"/>
            </w:tcBorders>
          </w:tcPr>
          <w:p w:rsidR="00682C05" w:rsidRPr="00B64BF4" w:rsidRDefault="00682C05" w:rsidP="00F822D8">
            <w:pPr>
              <w:jc w:val="both"/>
              <w:rPr>
                <w:rFonts w:ascii="Arial Narrow" w:hAnsi="Arial Narrow"/>
                <w:sz w:val="28"/>
                <w:szCs w:val="28"/>
              </w:rPr>
            </w:pPr>
            <w:r w:rsidRPr="00B64BF4">
              <w:rPr>
                <w:rFonts w:ascii="Arial Narrow" w:hAnsi="Arial Narrow"/>
                <w:sz w:val="28"/>
                <w:szCs w:val="28"/>
              </w:rPr>
              <w:t xml:space="preserve">Hedging provision </w:t>
            </w:r>
          </w:p>
        </w:tc>
        <w:tc>
          <w:tcPr>
            <w:tcW w:w="5702" w:type="dxa"/>
            <w:tcBorders>
              <w:bottom w:val="single" w:sz="4" w:space="0" w:color="auto"/>
            </w:tcBorders>
          </w:tcPr>
          <w:p w:rsidR="00682C05" w:rsidRPr="00682C05" w:rsidRDefault="00682C05" w:rsidP="00F822D8">
            <w:pPr>
              <w:jc w:val="both"/>
              <w:rPr>
                <w:rFonts w:ascii="Arial Narrow" w:hAnsi="Arial Narrow"/>
                <w:sz w:val="28"/>
                <w:szCs w:val="28"/>
              </w:rPr>
            </w:pPr>
            <w:r w:rsidRPr="00682C05">
              <w:rPr>
                <w:rFonts w:ascii="Arial Narrow" w:hAnsi="Arial Narrow"/>
                <w:sz w:val="28"/>
                <w:szCs w:val="28"/>
              </w:rPr>
              <w:t xml:space="preserve">The entities raising ECB are required to follow the guidelines for hedging issued, if any, by the concerned sectoral or prudential regulator in respect of foreign currency exposure. Infrastructure space companies shall have a board approved risk management policy. Further, such companies are required to mandatorily hedge 70 per cent of their </w:t>
            </w:r>
            <w:r w:rsidRPr="00682C05">
              <w:rPr>
                <w:rFonts w:ascii="Arial Narrow" w:hAnsi="Arial Narrow"/>
                <w:sz w:val="28"/>
                <w:szCs w:val="28"/>
              </w:rPr>
              <w:lastRenderedPageBreak/>
              <w:t xml:space="preserve">ECB exposure in case average maturity of ECB is less than 5 years. The designated AD Category-I bank shall verify that 70 per cent hedging requirement is complied with during the currency of ECB and report the position to RBI through Form ECB 2. The following operational aspects with respect to hedging should be ensured: </w:t>
            </w:r>
          </w:p>
          <w:p w:rsidR="00682C05" w:rsidRPr="00682C05" w:rsidRDefault="00682C05" w:rsidP="00F822D8">
            <w:pPr>
              <w:pStyle w:val="Default"/>
              <w:rPr>
                <w:rFonts w:ascii="Arial Narrow" w:hAnsi="Arial Narrow"/>
                <w:sz w:val="28"/>
                <w:szCs w:val="28"/>
              </w:rPr>
            </w:pPr>
            <w:r w:rsidRPr="00682C05">
              <w:rPr>
                <w:rFonts w:ascii="Arial Narrow" w:hAnsi="Arial Narrow"/>
                <w:sz w:val="28"/>
                <w:szCs w:val="28"/>
              </w:rPr>
              <w:t xml:space="preserve">a. </w:t>
            </w:r>
            <w:r w:rsidRPr="00682C05">
              <w:rPr>
                <w:rFonts w:ascii="Arial Narrow" w:hAnsi="Arial Narrow"/>
                <w:b/>
                <w:bCs/>
                <w:sz w:val="28"/>
                <w:szCs w:val="28"/>
              </w:rPr>
              <w:t xml:space="preserve">Coverage: </w:t>
            </w:r>
            <w:r w:rsidRPr="00682C05">
              <w:rPr>
                <w:rFonts w:ascii="Arial Narrow" w:hAnsi="Arial Narrow"/>
                <w:sz w:val="28"/>
                <w:szCs w:val="28"/>
              </w:rPr>
              <w:t xml:space="preserve">The ECB borrower will be required to cover principal as well as coupon through financial hedges. The financial hedge for all exposures on account of ECB should start from the time of each such exposure (i.e. the day liability is created in the books of the borrower). </w:t>
            </w:r>
          </w:p>
          <w:p w:rsidR="00682C05" w:rsidRPr="00682C05" w:rsidRDefault="00682C05" w:rsidP="00F822D8">
            <w:pPr>
              <w:pStyle w:val="Default"/>
              <w:rPr>
                <w:rFonts w:ascii="Arial Narrow" w:hAnsi="Arial Narrow"/>
                <w:sz w:val="28"/>
                <w:szCs w:val="28"/>
              </w:rPr>
            </w:pPr>
            <w:r w:rsidRPr="00682C05">
              <w:rPr>
                <w:rFonts w:ascii="Arial Narrow" w:hAnsi="Arial Narrow"/>
                <w:sz w:val="28"/>
                <w:szCs w:val="28"/>
              </w:rPr>
              <w:t xml:space="preserve">b. </w:t>
            </w:r>
            <w:r w:rsidRPr="00682C05">
              <w:rPr>
                <w:rFonts w:ascii="Arial Narrow" w:hAnsi="Arial Narrow"/>
                <w:b/>
                <w:bCs/>
                <w:sz w:val="28"/>
                <w:szCs w:val="28"/>
              </w:rPr>
              <w:t xml:space="preserve">Tenor and rollover: </w:t>
            </w:r>
            <w:r w:rsidRPr="00682C05">
              <w:rPr>
                <w:rFonts w:ascii="Arial Narrow" w:hAnsi="Arial Narrow"/>
                <w:sz w:val="28"/>
                <w:szCs w:val="28"/>
              </w:rPr>
              <w:t xml:space="preserve">A minimum tenor of one year of financial hedge would be required with periodic rollover duly ensuring that the exposure on account of ECB is not unhedged at any point during the currency of ECB. </w:t>
            </w:r>
          </w:p>
          <w:p w:rsidR="00682C05" w:rsidRPr="00682C05" w:rsidRDefault="00682C05" w:rsidP="00F822D8">
            <w:pPr>
              <w:pStyle w:val="Default"/>
              <w:rPr>
                <w:rFonts w:ascii="Arial Narrow" w:hAnsi="Arial Narrow"/>
                <w:sz w:val="28"/>
                <w:szCs w:val="28"/>
              </w:rPr>
            </w:pPr>
            <w:r w:rsidRPr="00682C05">
              <w:rPr>
                <w:rFonts w:ascii="Arial Narrow" w:hAnsi="Arial Narrow"/>
                <w:sz w:val="28"/>
                <w:szCs w:val="28"/>
              </w:rPr>
              <w:t xml:space="preserve">c. </w:t>
            </w:r>
            <w:r w:rsidRPr="00682C05">
              <w:rPr>
                <w:rFonts w:ascii="Arial Narrow" w:hAnsi="Arial Narrow"/>
                <w:b/>
                <w:bCs/>
                <w:sz w:val="28"/>
                <w:szCs w:val="28"/>
              </w:rPr>
              <w:t xml:space="preserve">Natural Hedge: </w:t>
            </w:r>
            <w:r w:rsidRPr="00682C05">
              <w:rPr>
                <w:rFonts w:ascii="Arial Narrow" w:hAnsi="Arial Narrow"/>
                <w:sz w:val="28"/>
                <w:szCs w:val="28"/>
              </w:rPr>
              <w:t xml:space="preserve">Natural hedge, in lieu of financial hedge, will be considered only to the extent of offsetting projected cash flows / revenues in matching </w:t>
            </w:r>
          </w:p>
          <w:p w:rsidR="00682C05" w:rsidRPr="00B64BF4" w:rsidRDefault="00682C05" w:rsidP="00F822D8">
            <w:pPr>
              <w:pStyle w:val="Default"/>
              <w:rPr>
                <w:rFonts w:ascii="Arial Narrow" w:hAnsi="Arial Narrow"/>
                <w:sz w:val="28"/>
                <w:szCs w:val="28"/>
              </w:rPr>
            </w:pPr>
            <w:r w:rsidRPr="00682C05">
              <w:rPr>
                <w:rFonts w:ascii="Arial Narrow" w:hAnsi="Arial Narrow"/>
                <w:sz w:val="28"/>
                <w:szCs w:val="28"/>
              </w:rPr>
              <w:t>currency, net of all other projected outflows. For this purpose, an ECB may be considered naturally hedged if the offsetting exposure has the maturity/cash flow within the same accounting year. Any other arrangements/ structures, where revenues are indexed to foreign currency will not be considered as natural hedge.</w:t>
            </w:r>
          </w:p>
        </w:tc>
        <w:tc>
          <w:tcPr>
            <w:tcW w:w="3006" w:type="dxa"/>
            <w:tcBorders>
              <w:bottom w:val="single" w:sz="4" w:space="0" w:color="auto"/>
            </w:tcBorders>
          </w:tcPr>
          <w:p w:rsidR="00682C05" w:rsidRPr="00682C05" w:rsidRDefault="00682C05" w:rsidP="00F822D8">
            <w:pPr>
              <w:jc w:val="both"/>
              <w:rPr>
                <w:rFonts w:ascii="Arial Narrow" w:hAnsi="Arial Narrow"/>
                <w:sz w:val="28"/>
                <w:szCs w:val="28"/>
              </w:rPr>
            </w:pPr>
            <w:r w:rsidRPr="00682C05">
              <w:rPr>
                <w:rFonts w:ascii="Arial Narrow" w:hAnsi="Arial Narrow"/>
                <w:sz w:val="28"/>
                <w:szCs w:val="28"/>
              </w:rPr>
              <w:lastRenderedPageBreak/>
              <w:t xml:space="preserve">The overseas investors are eligible to hedge their exposure in Rupee through permitted derivative </w:t>
            </w:r>
            <w:r w:rsidRPr="00682C05">
              <w:rPr>
                <w:sz w:val="28"/>
                <w:szCs w:val="28"/>
              </w:rPr>
              <w:t xml:space="preserve">products with AD Category I banks in India. The investors can </w:t>
            </w:r>
            <w:r w:rsidRPr="00682C05">
              <w:rPr>
                <w:sz w:val="28"/>
                <w:szCs w:val="28"/>
              </w:rPr>
              <w:lastRenderedPageBreak/>
              <w:t xml:space="preserve">also access the domestic market through branches / subsidiaries of Indian banks abroad or branches of foreign banks with Indian presence on a back to back basis. </w:t>
            </w:r>
          </w:p>
        </w:tc>
      </w:tr>
      <w:tr w:rsidR="00D261F0" w:rsidTr="009140C0">
        <w:tblPrEx>
          <w:tblBorders>
            <w:top w:val="nil"/>
            <w:left w:val="nil"/>
            <w:bottom w:val="nil"/>
            <w:right w:val="nil"/>
            <w:insideH w:val="none" w:sz="0" w:space="0" w:color="auto"/>
            <w:insideV w:val="none" w:sz="0" w:space="0" w:color="auto"/>
          </w:tblBorders>
        </w:tblPrEx>
        <w:trPr>
          <w:trHeight w:val="1958"/>
        </w:trPr>
        <w:tc>
          <w:tcPr>
            <w:tcW w:w="962" w:type="dxa"/>
            <w:tcBorders>
              <w:top w:val="single" w:sz="4" w:space="0" w:color="auto"/>
              <w:left w:val="single" w:sz="4" w:space="0" w:color="auto"/>
              <w:bottom w:val="single" w:sz="4" w:space="0" w:color="auto"/>
              <w:right w:val="single" w:sz="4" w:space="0" w:color="auto"/>
            </w:tcBorders>
          </w:tcPr>
          <w:p w:rsidR="00D261F0" w:rsidRPr="00D261F0" w:rsidRDefault="00D261F0" w:rsidP="00F822D8">
            <w:pPr>
              <w:pStyle w:val="Default"/>
              <w:jc w:val="center"/>
              <w:rPr>
                <w:color w:val="auto"/>
                <w:sz w:val="28"/>
              </w:rPr>
            </w:pPr>
            <w:r w:rsidRPr="00D261F0">
              <w:rPr>
                <w:sz w:val="28"/>
                <w:szCs w:val="23"/>
              </w:rPr>
              <w:lastRenderedPageBreak/>
              <w:t>xi</w:t>
            </w:r>
          </w:p>
        </w:tc>
        <w:tc>
          <w:tcPr>
            <w:tcW w:w="2562" w:type="dxa"/>
            <w:tcBorders>
              <w:top w:val="single" w:sz="4" w:space="0" w:color="auto"/>
              <w:left w:val="single" w:sz="4" w:space="0" w:color="auto"/>
              <w:bottom w:val="single" w:sz="4" w:space="0" w:color="auto"/>
              <w:right w:val="single" w:sz="4" w:space="0" w:color="auto"/>
            </w:tcBorders>
          </w:tcPr>
          <w:p w:rsidR="00D261F0" w:rsidRPr="00D261F0" w:rsidRDefault="00D261F0" w:rsidP="00F822D8">
            <w:pPr>
              <w:pStyle w:val="Default"/>
              <w:rPr>
                <w:color w:val="auto"/>
                <w:sz w:val="28"/>
              </w:rPr>
            </w:pPr>
            <w:r w:rsidRPr="00D261F0">
              <w:rPr>
                <w:sz w:val="28"/>
                <w:szCs w:val="23"/>
              </w:rPr>
              <w:t>Change of</w:t>
            </w:r>
            <w:r>
              <w:rPr>
                <w:sz w:val="28"/>
                <w:szCs w:val="23"/>
              </w:rPr>
              <w:t xml:space="preserve"> </w:t>
            </w:r>
            <w:r w:rsidRPr="00D261F0">
              <w:rPr>
                <w:sz w:val="28"/>
                <w:szCs w:val="23"/>
              </w:rPr>
              <w:t>currency of</w:t>
            </w:r>
            <w:r>
              <w:rPr>
                <w:sz w:val="28"/>
                <w:szCs w:val="23"/>
              </w:rPr>
              <w:t xml:space="preserve"> </w:t>
            </w:r>
            <w:r w:rsidRPr="00D261F0">
              <w:rPr>
                <w:sz w:val="28"/>
                <w:szCs w:val="23"/>
              </w:rPr>
              <w:t>borrowing</w:t>
            </w:r>
          </w:p>
        </w:tc>
        <w:tc>
          <w:tcPr>
            <w:tcW w:w="5702" w:type="dxa"/>
            <w:tcBorders>
              <w:top w:val="single" w:sz="4" w:space="0" w:color="auto"/>
              <w:left w:val="single" w:sz="4" w:space="0" w:color="auto"/>
              <w:bottom w:val="single" w:sz="4" w:space="0" w:color="auto"/>
              <w:right w:val="single" w:sz="4" w:space="0" w:color="auto"/>
            </w:tcBorders>
          </w:tcPr>
          <w:p w:rsidR="00D261F0" w:rsidRPr="00D261F0" w:rsidRDefault="00D261F0" w:rsidP="00F822D8">
            <w:pPr>
              <w:pStyle w:val="Default"/>
              <w:rPr>
                <w:sz w:val="28"/>
                <w:szCs w:val="23"/>
              </w:rPr>
            </w:pPr>
            <w:r w:rsidRPr="00D261F0">
              <w:rPr>
                <w:sz w:val="28"/>
                <w:szCs w:val="23"/>
              </w:rPr>
              <w:t>Change of currency of ECB from</w:t>
            </w:r>
            <w:r>
              <w:rPr>
                <w:sz w:val="28"/>
                <w:szCs w:val="23"/>
              </w:rPr>
              <w:t xml:space="preserve"> </w:t>
            </w:r>
            <w:r w:rsidRPr="00D261F0">
              <w:rPr>
                <w:sz w:val="28"/>
                <w:szCs w:val="23"/>
              </w:rPr>
              <w:t>one freely convertible foreign</w:t>
            </w:r>
            <w:r>
              <w:rPr>
                <w:sz w:val="28"/>
                <w:szCs w:val="23"/>
              </w:rPr>
              <w:t xml:space="preserve"> </w:t>
            </w:r>
            <w:r w:rsidRPr="00D261F0">
              <w:rPr>
                <w:sz w:val="28"/>
                <w:szCs w:val="23"/>
              </w:rPr>
              <w:t>currency to any other freely</w:t>
            </w:r>
            <w:r>
              <w:rPr>
                <w:sz w:val="28"/>
                <w:szCs w:val="23"/>
              </w:rPr>
              <w:t xml:space="preserve"> </w:t>
            </w:r>
            <w:r w:rsidRPr="00D261F0">
              <w:rPr>
                <w:sz w:val="28"/>
                <w:szCs w:val="23"/>
              </w:rPr>
              <w:t>convertible foreign</w:t>
            </w:r>
            <w:r>
              <w:rPr>
                <w:sz w:val="28"/>
                <w:szCs w:val="23"/>
              </w:rPr>
              <w:t xml:space="preserve"> </w:t>
            </w:r>
            <w:r w:rsidRPr="00D261F0">
              <w:rPr>
                <w:sz w:val="28"/>
                <w:szCs w:val="23"/>
              </w:rPr>
              <w:t>currency as</w:t>
            </w:r>
            <w:r>
              <w:rPr>
                <w:sz w:val="28"/>
                <w:szCs w:val="23"/>
              </w:rPr>
              <w:t xml:space="preserve"> </w:t>
            </w:r>
            <w:r w:rsidRPr="00D261F0">
              <w:rPr>
                <w:sz w:val="28"/>
                <w:szCs w:val="23"/>
              </w:rPr>
              <w:t>well as to INR is freely permitted.</w:t>
            </w:r>
          </w:p>
        </w:tc>
        <w:tc>
          <w:tcPr>
            <w:tcW w:w="3006" w:type="dxa"/>
            <w:tcBorders>
              <w:top w:val="single" w:sz="4" w:space="0" w:color="auto"/>
              <w:left w:val="single" w:sz="4" w:space="0" w:color="auto"/>
              <w:bottom w:val="single" w:sz="4" w:space="0" w:color="auto"/>
              <w:right w:val="single" w:sz="4" w:space="0" w:color="auto"/>
            </w:tcBorders>
          </w:tcPr>
          <w:p w:rsidR="00D261F0" w:rsidRPr="00D261F0" w:rsidRDefault="00D261F0" w:rsidP="00F822D8">
            <w:pPr>
              <w:pStyle w:val="Default"/>
              <w:rPr>
                <w:color w:val="auto"/>
                <w:sz w:val="28"/>
              </w:rPr>
            </w:pPr>
            <w:r w:rsidRPr="00D261F0">
              <w:rPr>
                <w:sz w:val="28"/>
                <w:szCs w:val="23"/>
              </w:rPr>
              <w:t>Change of currency from INR to</w:t>
            </w:r>
            <w:r>
              <w:rPr>
                <w:sz w:val="28"/>
                <w:szCs w:val="23"/>
              </w:rPr>
              <w:t xml:space="preserve"> </w:t>
            </w:r>
            <w:r w:rsidRPr="00D261F0">
              <w:rPr>
                <w:sz w:val="28"/>
                <w:szCs w:val="23"/>
              </w:rPr>
              <w:t>any freely convertible foreign</w:t>
            </w:r>
            <w:r>
              <w:rPr>
                <w:sz w:val="28"/>
                <w:szCs w:val="23"/>
              </w:rPr>
              <w:t xml:space="preserve"> </w:t>
            </w:r>
            <w:r w:rsidRPr="00D261F0">
              <w:rPr>
                <w:sz w:val="28"/>
                <w:szCs w:val="23"/>
              </w:rPr>
              <w:t>currency is not</w:t>
            </w:r>
            <w:r>
              <w:rPr>
                <w:sz w:val="28"/>
                <w:szCs w:val="23"/>
              </w:rPr>
              <w:t xml:space="preserve"> </w:t>
            </w:r>
            <w:r w:rsidRPr="00D261F0">
              <w:rPr>
                <w:sz w:val="28"/>
                <w:szCs w:val="23"/>
              </w:rPr>
              <w:t>permitted.</w:t>
            </w:r>
          </w:p>
        </w:tc>
      </w:tr>
    </w:tbl>
    <w:p w:rsidR="00682C05" w:rsidRDefault="00682C05" w:rsidP="00F822D8">
      <w:pPr>
        <w:jc w:val="both"/>
        <w:rPr>
          <w:rFonts w:ascii="Arial Narrow" w:hAnsi="Arial Narrow"/>
          <w:sz w:val="28"/>
          <w:szCs w:val="28"/>
        </w:rPr>
      </w:pPr>
    </w:p>
    <w:p w:rsidR="00D261F0" w:rsidRPr="00D261F0" w:rsidRDefault="00D261F0" w:rsidP="00F822D8">
      <w:pPr>
        <w:jc w:val="both"/>
        <w:rPr>
          <w:rFonts w:ascii="Arial Narrow" w:hAnsi="Arial Narrow"/>
          <w:sz w:val="28"/>
          <w:szCs w:val="28"/>
        </w:rPr>
      </w:pPr>
      <w:r w:rsidRPr="00D261F0">
        <w:rPr>
          <w:rFonts w:ascii="Arial Narrow" w:hAnsi="Arial Narrow"/>
          <w:sz w:val="28"/>
          <w:szCs w:val="28"/>
        </w:rPr>
        <w:t>Note: ECB framework is not applicable in respect of the investment in Non-Convertible Debentures in India made by Registered Foreign Portfolio Investors.</w:t>
      </w:r>
    </w:p>
    <w:p w:rsidR="00D261F0" w:rsidRDefault="00D261F0" w:rsidP="00F822D8">
      <w:pPr>
        <w:jc w:val="both"/>
        <w:rPr>
          <w:rFonts w:ascii="Arial Narrow" w:hAnsi="Arial Narrow"/>
          <w:sz w:val="28"/>
          <w:szCs w:val="28"/>
        </w:rPr>
      </w:pPr>
      <w:r w:rsidRPr="00D261F0">
        <w:rPr>
          <w:rFonts w:ascii="Arial Narrow" w:hAnsi="Arial Narrow"/>
          <w:sz w:val="28"/>
          <w:szCs w:val="28"/>
        </w:rPr>
        <w:t>2.2. Limit and leverage: Under the aforesaid framework, all eligible borrowers can raise ECB up to USD 750 million or equivalent per financial year under auto route. Further, in case of FCY denominated ECB raised from direct foreign equity holder, ECB liability-equity ratio for ECBs raised under the automatic route cannot exceed 7:1. However, this ratio will not be applicable if outstanding amount of all ECBs, including proposed one, is up to USD 5 million or equivalent. Further, the borrowing entities will also be governed by the guidelines on debt equity ratio issued, if any, by the sectoral or prudential regulator concerned.</w:t>
      </w:r>
    </w:p>
    <w:p w:rsidR="00D261F0" w:rsidRPr="00D261F0" w:rsidRDefault="00D261F0" w:rsidP="00F822D8">
      <w:pPr>
        <w:jc w:val="both"/>
        <w:rPr>
          <w:rFonts w:ascii="Arial Narrow" w:hAnsi="Arial Narrow"/>
          <w:sz w:val="28"/>
          <w:szCs w:val="28"/>
        </w:rPr>
      </w:pPr>
      <w:r w:rsidRPr="00D261F0">
        <w:rPr>
          <w:rFonts w:ascii="Arial Narrow" w:hAnsi="Arial Narrow"/>
          <w:sz w:val="28"/>
          <w:szCs w:val="28"/>
        </w:rPr>
        <w:t>3. Issuance of Guarantee, etc. by Indian banks and Financial Institutions: Issuance of any type of guarantee by Indian banks, All India Financial Institutions and NBFCs relating to ECB is not permitted. Further, financial intermediaries (viz., Indian banks, All India Financial Institutions, or NBFCs) shall not invest in FCCBs/ FCEBs in any manner whatsoever.</w:t>
      </w:r>
    </w:p>
    <w:p w:rsidR="00D261F0" w:rsidRDefault="00D261F0" w:rsidP="00F822D8">
      <w:pPr>
        <w:jc w:val="both"/>
        <w:rPr>
          <w:rFonts w:ascii="Arial Narrow" w:hAnsi="Arial Narrow"/>
          <w:sz w:val="28"/>
          <w:szCs w:val="28"/>
        </w:rPr>
      </w:pPr>
      <w:r w:rsidRPr="00D261F0">
        <w:rPr>
          <w:rFonts w:ascii="Arial Narrow" w:hAnsi="Arial Narrow"/>
          <w:sz w:val="28"/>
          <w:szCs w:val="28"/>
        </w:rPr>
        <w:t>4. Parking of ECB proceeds: ECB proceeds are permitted to be parked abroad as well as domestically in the manner given below:</w:t>
      </w:r>
    </w:p>
    <w:p w:rsidR="00D261F0" w:rsidRPr="00D261F0" w:rsidRDefault="00D261F0" w:rsidP="00F822D8">
      <w:pPr>
        <w:jc w:val="both"/>
        <w:rPr>
          <w:rFonts w:ascii="Arial Narrow" w:hAnsi="Arial Narrow"/>
          <w:sz w:val="28"/>
          <w:szCs w:val="28"/>
        </w:rPr>
      </w:pPr>
      <w:r w:rsidRPr="00D261F0">
        <w:rPr>
          <w:rFonts w:ascii="Arial Narrow" w:hAnsi="Arial Narrow"/>
          <w:sz w:val="28"/>
          <w:szCs w:val="28"/>
        </w:rPr>
        <w:t>4.1. Parking of ECB proceeds abroad: ECB proceeds meant only for foreign currency expenditure can be parked abroad pending utilisation. Till utilisation, these funds can be invested in the following liquid assets (a) deposits or Certificate of Deposit or other products offered by banks rated not less than AA (-) by Standard and Poor/Fitch IBCA or Aa3 by Moody’s; (b) Treasury bills and other monetary instruments of one-year maturity having</w:t>
      </w:r>
      <w:r>
        <w:rPr>
          <w:rFonts w:ascii="Arial Narrow" w:hAnsi="Arial Narrow"/>
          <w:sz w:val="28"/>
          <w:szCs w:val="28"/>
        </w:rPr>
        <w:t xml:space="preserve"> </w:t>
      </w:r>
      <w:r w:rsidRPr="00D261F0">
        <w:rPr>
          <w:rFonts w:ascii="Arial Narrow" w:hAnsi="Arial Narrow"/>
          <w:sz w:val="28"/>
          <w:szCs w:val="28"/>
        </w:rPr>
        <w:t>minimum rating as indicated above and (c) deposits with foreign branches/subsidiaries of Indian banks abroad.</w:t>
      </w:r>
    </w:p>
    <w:p w:rsidR="00D261F0" w:rsidRDefault="00D261F0" w:rsidP="00F822D8">
      <w:pPr>
        <w:jc w:val="both"/>
        <w:rPr>
          <w:rFonts w:ascii="Arial Narrow" w:hAnsi="Arial Narrow"/>
          <w:sz w:val="28"/>
          <w:szCs w:val="28"/>
        </w:rPr>
      </w:pPr>
      <w:r w:rsidRPr="00D261F0">
        <w:rPr>
          <w:rFonts w:ascii="Arial Narrow" w:hAnsi="Arial Narrow"/>
          <w:sz w:val="28"/>
          <w:szCs w:val="28"/>
        </w:rPr>
        <w:t xml:space="preserve">4.2. Parking of ECB proceeds domestically: ECB proceeds meant for Rupee expenditure should be repatriated immediately for credit to their Rupee accounts with AD Category I banks in India. ECB borrowers are also allowed to park ECB proceeds in term </w:t>
      </w:r>
      <w:r w:rsidRPr="00D261F0">
        <w:rPr>
          <w:rFonts w:ascii="Arial Narrow" w:hAnsi="Arial Narrow"/>
          <w:sz w:val="28"/>
          <w:szCs w:val="28"/>
        </w:rPr>
        <w:lastRenderedPageBreak/>
        <w:t>deposits with AD Category I banks in India for a maximum period of 12 months cumulatively. These term deposits should be kept in unencumbered position.</w:t>
      </w:r>
    </w:p>
    <w:p w:rsidR="00D261F0" w:rsidRDefault="00D261F0" w:rsidP="00F822D8">
      <w:pPr>
        <w:jc w:val="both"/>
        <w:rPr>
          <w:rFonts w:ascii="Arial Narrow" w:hAnsi="Arial Narrow"/>
          <w:sz w:val="28"/>
          <w:szCs w:val="28"/>
        </w:rPr>
      </w:pPr>
      <w:r w:rsidRPr="00D261F0">
        <w:rPr>
          <w:rFonts w:ascii="Arial Narrow" w:hAnsi="Arial Narrow"/>
          <w:sz w:val="28"/>
          <w:szCs w:val="28"/>
        </w:rPr>
        <w:t>5. Procedure of raising ECB: All ECBs can be raised under the automatic route if they conform to the parameters prescribed under this framework. For approval route cases, the borrowers may approach the RBI with an application in prescribed format (Form ECB) for examination through their AD Category I bank. Such cases shall be considered keeping in view the overall guidelines, macroeconomic situation and merits of the specific proposals. ECB proposals received in the Reserve Bank above certain threshold limit (</w:t>
      </w:r>
      <w:proofErr w:type="spellStart"/>
      <w:r w:rsidRPr="00D261F0">
        <w:rPr>
          <w:rFonts w:ascii="Arial Narrow" w:hAnsi="Arial Narrow"/>
          <w:sz w:val="28"/>
          <w:szCs w:val="28"/>
        </w:rPr>
        <w:t>refixed</w:t>
      </w:r>
      <w:proofErr w:type="spellEnd"/>
      <w:r w:rsidRPr="00D261F0">
        <w:rPr>
          <w:rFonts w:ascii="Arial Narrow" w:hAnsi="Arial Narrow"/>
          <w:sz w:val="28"/>
          <w:szCs w:val="28"/>
        </w:rPr>
        <w:t xml:space="preserve"> from time to time) would be placed before the Empowered Committee set up by the Reserve Bank. The Empowered Committee will have external as well as internal members and the Reserve Bank will take a final decision in the cases taking into account recommendation of the Empowered Committee. Entities desirous to raise ECB under the automatic route may approach an AD Category I bank with their proposal along with duly filled in Form ECB.</w:t>
      </w:r>
    </w:p>
    <w:p w:rsidR="00AF0201" w:rsidRDefault="00AF0201" w:rsidP="00F822D8">
      <w:pPr>
        <w:jc w:val="both"/>
        <w:rPr>
          <w:rFonts w:ascii="Arial Narrow" w:hAnsi="Arial Narrow"/>
          <w:sz w:val="28"/>
          <w:szCs w:val="28"/>
        </w:rPr>
      </w:pPr>
      <w:r w:rsidRPr="00AF0201">
        <w:rPr>
          <w:rFonts w:ascii="Arial Narrow" w:hAnsi="Arial Narrow"/>
          <w:b/>
          <w:bCs/>
          <w:sz w:val="28"/>
          <w:szCs w:val="28"/>
        </w:rPr>
        <w:t xml:space="preserve">6. Reporting Requirements: </w:t>
      </w:r>
      <w:r w:rsidRPr="00AF0201">
        <w:rPr>
          <w:rFonts w:ascii="Arial Narrow" w:hAnsi="Arial Narrow"/>
          <w:sz w:val="28"/>
          <w:szCs w:val="28"/>
        </w:rPr>
        <w:t>Borrowings under ECB Framework are subject to following reporting requirements apart from any other specific reporting required under the framework:</w:t>
      </w:r>
    </w:p>
    <w:p w:rsidR="00AF0201" w:rsidRDefault="00AF0201" w:rsidP="00F822D8">
      <w:pPr>
        <w:jc w:val="both"/>
        <w:rPr>
          <w:rFonts w:ascii="Arial Narrow" w:hAnsi="Arial Narrow"/>
          <w:sz w:val="28"/>
          <w:szCs w:val="28"/>
        </w:rPr>
      </w:pPr>
      <w:r w:rsidRPr="00AF0201">
        <w:rPr>
          <w:rFonts w:ascii="Arial Narrow" w:hAnsi="Arial Narrow"/>
          <w:sz w:val="28"/>
          <w:szCs w:val="28"/>
        </w:rPr>
        <w:t xml:space="preserve">6.1. Loan Registration Number (LRN): Any draw-down in respect of an ECB should happen only after obtaining the LRN from the Reserve Bank. To obtain the LRN, borrowers are required to submit duly certified Form ECB, which also contains terms and conditions of the ECB, in duplicate to the designated AD Category I bank. In turn, the AD Category I bank will forward one copy to the Director, Reserve Bank of India, Department of Statistics and Information Management, External Commercial Borrowings Division, </w:t>
      </w:r>
      <w:proofErr w:type="spellStart"/>
      <w:r w:rsidRPr="00AF0201">
        <w:rPr>
          <w:rFonts w:ascii="Arial Narrow" w:hAnsi="Arial Narrow"/>
          <w:sz w:val="28"/>
          <w:szCs w:val="28"/>
        </w:rPr>
        <w:t>Bandra-Kurla</w:t>
      </w:r>
      <w:proofErr w:type="spellEnd"/>
      <w:r w:rsidRPr="00AF0201">
        <w:rPr>
          <w:rFonts w:ascii="Arial Narrow" w:hAnsi="Arial Narrow"/>
          <w:sz w:val="28"/>
          <w:szCs w:val="28"/>
        </w:rPr>
        <w:t xml:space="preserve"> Complex, Mumbai – 400 051 (Contact numbers 022-26572513 and 022-26573612). Copies of loan agreement for raising ECB are not required to be submitted to the Reserve Bank.</w:t>
      </w:r>
    </w:p>
    <w:p w:rsidR="00AF0201" w:rsidRDefault="00AF0201" w:rsidP="00F822D8">
      <w:pPr>
        <w:jc w:val="both"/>
        <w:rPr>
          <w:rFonts w:ascii="Arial Narrow" w:hAnsi="Arial Narrow"/>
          <w:sz w:val="28"/>
          <w:szCs w:val="28"/>
        </w:rPr>
      </w:pPr>
      <w:r w:rsidRPr="00AF0201">
        <w:rPr>
          <w:rFonts w:ascii="Arial Narrow" w:hAnsi="Arial Narrow"/>
          <w:sz w:val="28"/>
          <w:szCs w:val="28"/>
        </w:rPr>
        <w:t>6.2. Changes in terms and conditions of ECB: Changes in ECB parameters in consonance with the ECB norms, including reduced repayment by mutual agreement between the lender and borrower, should be reported to the DSIM through revised Form ECB at the earliest, in any case not later than 7 days from the changes effected. While submitting revised Form ECB the changes should be specifically mentioned in the communication.</w:t>
      </w:r>
    </w:p>
    <w:p w:rsidR="00AF0201" w:rsidRDefault="00AF0201" w:rsidP="00F822D8">
      <w:pPr>
        <w:jc w:val="both"/>
        <w:rPr>
          <w:rFonts w:ascii="Arial Narrow" w:hAnsi="Arial Narrow"/>
          <w:sz w:val="28"/>
          <w:szCs w:val="28"/>
        </w:rPr>
      </w:pPr>
      <w:r w:rsidRPr="00AF0201">
        <w:rPr>
          <w:rFonts w:ascii="Arial Narrow" w:hAnsi="Arial Narrow"/>
          <w:sz w:val="28"/>
          <w:szCs w:val="28"/>
        </w:rPr>
        <w:t>6.3. Monthly Reporting of actual transactions: The borrowers are required to report actual ECB transactions through Form ECB 2 Return through the AD Category I bank on monthly basis so as to reach DSIM within seven working days from the close of month to which it</w:t>
      </w:r>
      <w:r>
        <w:rPr>
          <w:rFonts w:ascii="Arial Narrow" w:hAnsi="Arial Narrow"/>
          <w:sz w:val="28"/>
          <w:szCs w:val="28"/>
        </w:rPr>
        <w:t xml:space="preserve"> </w:t>
      </w:r>
      <w:r w:rsidRPr="00AF0201">
        <w:rPr>
          <w:rFonts w:ascii="Arial Narrow" w:hAnsi="Arial Narrow"/>
          <w:sz w:val="28"/>
          <w:szCs w:val="28"/>
        </w:rPr>
        <w:t>relates. Changes, if any, in ECB parameters should also be incorporated in Form ECB 2 Return.</w:t>
      </w:r>
    </w:p>
    <w:p w:rsidR="00AF0201" w:rsidRPr="00AF0201" w:rsidRDefault="00AF0201" w:rsidP="00F822D8">
      <w:pPr>
        <w:jc w:val="both"/>
        <w:rPr>
          <w:rFonts w:ascii="Arial Narrow" w:hAnsi="Arial Narrow"/>
          <w:sz w:val="28"/>
          <w:szCs w:val="28"/>
        </w:rPr>
      </w:pPr>
      <w:r w:rsidRPr="00AF0201">
        <w:rPr>
          <w:rFonts w:ascii="Arial Narrow" w:hAnsi="Arial Narrow"/>
          <w:sz w:val="28"/>
          <w:szCs w:val="28"/>
        </w:rPr>
        <w:t>6.4. Late Submission Fee (LSF) for delay in reporting:</w:t>
      </w:r>
    </w:p>
    <w:p w:rsidR="00AF0201" w:rsidRDefault="00AF0201" w:rsidP="00F822D8">
      <w:pPr>
        <w:jc w:val="both"/>
        <w:rPr>
          <w:rFonts w:ascii="Arial Narrow" w:hAnsi="Arial Narrow"/>
          <w:sz w:val="28"/>
          <w:szCs w:val="28"/>
        </w:rPr>
      </w:pPr>
      <w:r w:rsidRPr="00AF0201">
        <w:rPr>
          <w:rFonts w:ascii="Arial Narrow" w:hAnsi="Arial Narrow"/>
          <w:sz w:val="28"/>
          <w:szCs w:val="28"/>
        </w:rPr>
        <w:lastRenderedPageBreak/>
        <w:t>6.4.1. Any borrower, who is otherwise in compliance of ECB guidelines, can regularise the delay in reporting of drawdown of ECB proceeds before obtaining LRN or delay in submission of Form ECB 2 returns, by payment of late submission fees as detailed in the following matrix:</w:t>
      </w:r>
    </w:p>
    <w:p w:rsidR="00AF0201" w:rsidRDefault="00AF0201" w:rsidP="00F822D8">
      <w:pPr>
        <w:jc w:val="both"/>
        <w:rPr>
          <w:rFonts w:ascii="Arial Narrow" w:hAnsi="Arial Narrow"/>
          <w:sz w:val="28"/>
          <w:szCs w:val="28"/>
        </w:rPr>
      </w:pPr>
    </w:p>
    <w:p w:rsidR="00AF0201" w:rsidRDefault="00AF0201" w:rsidP="00F822D8">
      <w:pPr>
        <w:jc w:val="both"/>
        <w:rPr>
          <w:rFonts w:ascii="Arial Narrow" w:hAnsi="Arial Narrow"/>
          <w:sz w:val="28"/>
          <w:szCs w:val="28"/>
        </w:rPr>
      </w:pPr>
    </w:p>
    <w:tbl>
      <w:tblPr>
        <w:tblW w:w="14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6"/>
        <w:gridCol w:w="3762"/>
        <w:gridCol w:w="5310"/>
        <w:gridCol w:w="3969"/>
      </w:tblGrid>
      <w:tr w:rsidR="00AF0201" w:rsidRPr="00AF0201" w:rsidTr="00AF0201">
        <w:trPr>
          <w:trHeight w:val="321"/>
        </w:trPr>
        <w:tc>
          <w:tcPr>
            <w:tcW w:w="1096" w:type="dxa"/>
          </w:tcPr>
          <w:p w:rsidR="00AF0201" w:rsidRPr="00AF0201" w:rsidRDefault="00AF0201" w:rsidP="00F822D8">
            <w:pPr>
              <w:pStyle w:val="Default"/>
              <w:rPr>
                <w:sz w:val="28"/>
                <w:szCs w:val="23"/>
              </w:rPr>
            </w:pPr>
            <w:r w:rsidRPr="00AF0201">
              <w:rPr>
                <w:b/>
                <w:bCs/>
                <w:sz w:val="28"/>
                <w:szCs w:val="23"/>
              </w:rPr>
              <w:t xml:space="preserve">Sr. No. </w:t>
            </w:r>
          </w:p>
        </w:tc>
        <w:tc>
          <w:tcPr>
            <w:tcW w:w="3762" w:type="dxa"/>
          </w:tcPr>
          <w:p w:rsidR="00AF0201" w:rsidRPr="00AF0201" w:rsidRDefault="00AF0201" w:rsidP="00F822D8">
            <w:pPr>
              <w:pStyle w:val="Default"/>
              <w:rPr>
                <w:sz w:val="28"/>
                <w:szCs w:val="23"/>
              </w:rPr>
            </w:pPr>
            <w:r w:rsidRPr="00AF0201">
              <w:rPr>
                <w:b/>
                <w:bCs/>
                <w:sz w:val="28"/>
                <w:szCs w:val="23"/>
              </w:rPr>
              <w:t xml:space="preserve">Type of Return/Form </w:t>
            </w:r>
          </w:p>
        </w:tc>
        <w:tc>
          <w:tcPr>
            <w:tcW w:w="5310" w:type="dxa"/>
          </w:tcPr>
          <w:p w:rsidR="00AF0201" w:rsidRPr="00AF0201" w:rsidRDefault="00AF0201" w:rsidP="00F822D8">
            <w:pPr>
              <w:pStyle w:val="Default"/>
              <w:rPr>
                <w:sz w:val="28"/>
                <w:szCs w:val="23"/>
              </w:rPr>
            </w:pPr>
            <w:r w:rsidRPr="00AF0201">
              <w:rPr>
                <w:b/>
                <w:bCs/>
                <w:sz w:val="28"/>
                <w:szCs w:val="23"/>
              </w:rPr>
              <w:t xml:space="preserve">Period of delay </w:t>
            </w:r>
          </w:p>
        </w:tc>
        <w:tc>
          <w:tcPr>
            <w:tcW w:w="3969" w:type="dxa"/>
          </w:tcPr>
          <w:p w:rsidR="00AF0201" w:rsidRPr="00AF0201" w:rsidRDefault="00AF0201" w:rsidP="00F822D8">
            <w:pPr>
              <w:pStyle w:val="Default"/>
              <w:rPr>
                <w:sz w:val="28"/>
                <w:szCs w:val="23"/>
              </w:rPr>
            </w:pPr>
            <w:r w:rsidRPr="00AF0201">
              <w:rPr>
                <w:b/>
                <w:bCs/>
                <w:sz w:val="28"/>
                <w:szCs w:val="23"/>
              </w:rPr>
              <w:t xml:space="preserve">Applicable LSF </w:t>
            </w:r>
          </w:p>
        </w:tc>
      </w:tr>
      <w:tr w:rsidR="00AF0201" w:rsidRPr="00AF0201" w:rsidTr="00AF0201">
        <w:trPr>
          <w:trHeight w:val="321"/>
        </w:trPr>
        <w:tc>
          <w:tcPr>
            <w:tcW w:w="1096" w:type="dxa"/>
          </w:tcPr>
          <w:p w:rsidR="00AF0201" w:rsidRPr="00AF0201" w:rsidRDefault="00AF0201" w:rsidP="00F822D8">
            <w:pPr>
              <w:pStyle w:val="Default"/>
              <w:rPr>
                <w:sz w:val="28"/>
                <w:szCs w:val="23"/>
              </w:rPr>
            </w:pPr>
            <w:r w:rsidRPr="00AF0201">
              <w:rPr>
                <w:sz w:val="28"/>
                <w:szCs w:val="23"/>
              </w:rPr>
              <w:t xml:space="preserve">1 </w:t>
            </w:r>
          </w:p>
        </w:tc>
        <w:tc>
          <w:tcPr>
            <w:tcW w:w="3762" w:type="dxa"/>
          </w:tcPr>
          <w:p w:rsidR="00AF0201" w:rsidRPr="00AF0201" w:rsidRDefault="00AF0201" w:rsidP="00F822D8">
            <w:pPr>
              <w:pStyle w:val="Default"/>
              <w:rPr>
                <w:sz w:val="28"/>
                <w:szCs w:val="23"/>
              </w:rPr>
            </w:pPr>
            <w:r w:rsidRPr="00AF0201">
              <w:rPr>
                <w:sz w:val="28"/>
                <w:szCs w:val="23"/>
              </w:rPr>
              <w:t xml:space="preserve">Form ECB 2 </w:t>
            </w:r>
          </w:p>
        </w:tc>
        <w:tc>
          <w:tcPr>
            <w:tcW w:w="5310" w:type="dxa"/>
          </w:tcPr>
          <w:p w:rsidR="00AF0201" w:rsidRPr="00AF0201" w:rsidRDefault="00AF0201" w:rsidP="00F822D8">
            <w:pPr>
              <w:pStyle w:val="Default"/>
              <w:rPr>
                <w:sz w:val="28"/>
                <w:szCs w:val="23"/>
              </w:rPr>
            </w:pPr>
            <w:r w:rsidRPr="00AF0201">
              <w:rPr>
                <w:sz w:val="28"/>
                <w:szCs w:val="23"/>
              </w:rPr>
              <w:t xml:space="preserve">Up to 30 calendar days from due date of submission </w:t>
            </w:r>
          </w:p>
        </w:tc>
        <w:tc>
          <w:tcPr>
            <w:tcW w:w="3969" w:type="dxa"/>
          </w:tcPr>
          <w:p w:rsidR="00AF0201" w:rsidRPr="00AF0201" w:rsidRDefault="00AF0201" w:rsidP="00F822D8">
            <w:pPr>
              <w:pStyle w:val="Default"/>
              <w:rPr>
                <w:sz w:val="28"/>
                <w:szCs w:val="23"/>
              </w:rPr>
            </w:pPr>
            <w:r w:rsidRPr="00AF0201">
              <w:rPr>
                <w:sz w:val="28"/>
                <w:szCs w:val="23"/>
              </w:rPr>
              <w:t xml:space="preserve">INR 5,000 </w:t>
            </w:r>
          </w:p>
        </w:tc>
      </w:tr>
      <w:tr w:rsidR="00AF0201" w:rsidRPr="00AF0201" w:rsidTr="00AF0201">
        <w:trPr>
          <w:trHeight w:val="321"/>
        </w:trPr>
        <w:tc>
          <w:tcPr>
            <w:tcW w:w="1096" w:type="dxa"/>
          </w:tcPr>
          <w:p w:rsidR="00AF0201" w:rsidRPr="00AF0201" w:rsidRDefault="00AF0201" w:rsidP="00F822D8">
            <w:pPr>
              <w:pStyle w:val="Default"/>
              <w:rPr>
                <w:sz w:val="28"/>
                <w:szCs w:val="23"/>
              </w:rPr>
            </w:pPr>
            <w:r w:rsidRPr="00AF0201">
              <w:rPr>
                <w:sz w:val="28"/>
                <w:szCs w:val="23"/>
              </w:rPr>
              <w:t xml:space="preserve">2 </w:t>
            </w:r>
          </w:p>
        </w:tc>
        <w:tc>
          <w:tcPr>
            <w:tcW w:w="3762" w:type="dxa"/>
          </w:tcPr>
          <w:p w:rsidR="00AF0201" w:rsidRPr="00AF0201" w:rsidRDefault="00AF0201" w:rsidP="00F822D8">
            <w:pPr>
              <w:pStyle w:val="Default"/>
              <w:rPr>
                <w:sz w:val="28"/>
                <w:szCs w:val="23"/>
              </w:rPr>
            </w:pPr>
            <w:r w:rsidRPr="00AF0201">
              <w:rPr>
                <w:sz w:val="28"/>
                <w:szCs w:val="23"/>
              </w:rPr>
              <w:t xml:space="preserve">Form ECB 2/Form ECB </w:t>
            </w:r>
          </w:p>
        </w:tc>
        <w:tc>
          <w:tcPr>
            <w:tcW w:w="5310" w:type="dxa"/>
          </w:tcPr>
          <w:p w:rsidR="00AF0201" w:rsidRPr="00AF0201" w:rsidRDefault="00AF0201" w:rsidP="00F822D8">
            <w:pPr>
              <w:pStyle w:val="Default"/>
              <w:rPr>
                <w:sz w:val="28"/>
                <w:szCs w:val="23"/>
              </w:rPr>
            </w:pPr>
            <w:r w:rsidRPr="00AF0201">
              <w:rPr>
                <w:sz w:val="28"/>
                <w:szCs w:val="23"/>
              </w:rPr>
              <w:t xml:space="preserve">Up to three years from due date of submission/date of drawdown </w:t>
            </w:r>
          </w:p>
        </w:tc>
        <w:tc>
          <w:tcPr>
            <w:tcW w:w="3969" w:type="dxa"/>
          </w:tcPr>
          <w:p w:rsidR="00AF0201" w:rsidRPr="00AF0201" w:rsidRDefault="00AF0201" w:rsidP="00F822D8">
            <w:pPr>
              <w:pStyle w:val="Default"/>
              <w:rPr>
                <w:sz w:val="28"/>
                <w:szCs w:val="23"/>
              </w:rPr>
            </w:pPr>
            <w:r w:rsidRPr="00AF0201">
              <w:rPr>
                <w:sz w:val="28"/>
                <w:szCs w:val="23"/>
              </w:rPr>
              <w:t xml:space="preserve">INR 50,000 per year </w:t>
            </w:r>
          </w:p>
        </w:tc>
      </w:tr>
      <w:tr w:rsidR="00AF0201" w:rsidRPr="00AF0201" w:rsidTr="00AF0201">
        <w:trPr>
          <w:trHeight w:val="321"/>
        </w:trPr>
        <w:tc>
          <w:tcPr>
            <w:tcW w:w="1096" w:type="dxa"/>
          </w:tcPr>
          <w:p w:rsidR="00AF0201" w:rsidRPr="00AF0201" w:rsidRDefault="00AF0201" w:rsidP="00F822D8">
            <w:pPr>
              <w:pStyle w:val="Default"/>
              <w:rPr>
                <w:sz w:val="28"/>
                <w:szCs w:val="23"/>
              </w:rPr>
            </w:pPr>
            <w:r w:rsidRPr="00AF0201">
              <w:rPr>
                <w:sz w:val="28"/>
                <w:szCs w:val="23"/>
              </w:rPr>
              <w:t xml:space="preserve">3 </w:t>
            </w:r>
          </w:p>
        </w:tc>
        <w:tc>
          <w:tcPr>
            <w:tcW w:w="3762" w:type="dxa"/>
          </w:tcPr>
          <w:p w:rsidR="00AF0201" w:rsidRPr="00AF0201" w:rsidRDefault="00AF0201" w:rsidP="00F822D8">
            <w:pPr>
              <w:pStyle w:val="Default"/>
              <w:rPr>
                <w:sz w:val="28"/>
                <w:szCs w:val="23"/>
              </w:rPr>
            </w:pPr>
            <w:r w:rsidRPr="00AF0201">
              <w:rPr>
                <w:sz w:val="28"/>
                <w:szCs w:val="23"/>
              </w:rPr>
              <w:t xml:space="preserve">Form ECB 2/Form ECB </w:t>
            </w:r>
          </w:p>
        </w:tc>
        <w:tc>
          <w:tcPr>
            <w:tcW w:w="5310" w:type="dxa"/>
          </w:tcPr>
          <w:p w:rsidR="00AF0201" w:rsidRPr="00AF0201" w:rsidRDefault="00AF0201" w:rsidP="00F822D8">
            <w:pPr>
              <w:pStyle w:val="Default"/>
              <w:rPr>
                <w:sz w:val="28"/>
                <w:szCs w:val="23"/>
              </w:rPr>
            </w:pPr>
            <w:r w:rsidRPr="00AF0201">
              <w:rPr>
                <w:sz w:val="28"/>
                <w:szCs w:val="23"/>
              </w:rPr>
              <w:t xml:space="preserve">Beyond three years from due date of submission/date of drawdown </w:t>
            </w:r>
          </w:p>
        </w:tc>
        <w:tc>
          <w:tcPr>
            <w:tcW w:w="3969" w:type="dxa"/>
          </w:tcPr>
          <w:p w:rsidR="00AF0201" w:rsidRPr="00AF0201" w:rsidRDefault="00AF0201" w:rsidP="00F822D8">
            <w:pPr>
              <w:pStyle w:val="Default"/>
              <w:rPr>
                <w:sz w:val="28"/>
                <w:szCs w:val="23"/>
              </w:rPr>
            </w:pPr>
            <w:r w:rsidRPr="00AF0201">
              <w:rPr>
                <w:sz w:val="28"/>
                <w:szCs w:val="23"/>
              </w:rPr>
              <w:t xml:space="preserve">INR 100,000 per year </w:t>
            </w:r>
          </w:p>
        </w:tc>
      </w:tr>
    </w:tbl>
    <w:p w:rsidR="00AF0201" w:rsidRDefault="00AF0201" w:rsidP="00F822D8">
      <w:pPr>
        <w:jc w:val="both"/>
        <w:rPr>
          <w:rFonts w:ascii="Arial Narrow" w:hAnsi="Arial Narrow"/>
          <w:sz w:val="28"/>
          <w:szCs w:val="28"/>
        </w:rPr>
      </w:pPr>
    </w:p>
    <w:p w:rsidR="00AF0201" w:rsidRDefault="00AF0201" w:rsidP="00F822D8">
      <w:pPr>
        <w:jc w:val="both"/>
        <w:rPr>
          <w:rFonts w:ascii="Arial Narrow" w:hAnsi="Arial Narrow"/>
          <w:sz w:val="28"/>
          <w:szCs w:val="28"/>
        </w:rPr>
      </w:pPr>
      <w:r w:rsidRPr="00AF0201">
        <w:rPr>
          <w:rFonts w:ascii="Arial Narrow" w:hAnsi="Arial Narrow"/>
          <w:sz w:val="28"/>
          <w:szCs w:val="28"/>
        </w:rPr>
        <w:t>6.4.2. The borrower, through its AD bank, may pay the LSF by way of demand draft in favour of “Reserve Bank of India” or any other mode specified by the Reserve Bank. Such payment should be accompanied with the requisite return(s). Form ECB and Form ECB 2 returns reporting contraventions will be treated separately. Non-payment of LSF will be treated as contravention of reporting provision and shall be subject to compounding or adjudication as provided in FEMA 1999 or regulations/rules framed thereunder.</w:t>
      </w:r>
    </w:p>
    <w:p w:rsidR="00AF0201" w:rsidRDefault="00AF0201" w:rsidP="00F822D8">
      <w:pPr>
        <w:jc w:val="both"/>
        <w:rPr>
          <w:rFonts w:ascii="Arial Narrow" w:hAnsi="Arial Narrow"/>
          <w:sz w:val="28"/>
          <w:szCs w:val="28"/>
        </w:rPr>
      </w:pPr>
      <w:r w:rsidRPr="00AF0201">
        <w:rPr>
          <w:rFonts w:ascii="Arial Narrow" w:hAnsi="Arial Narrow"/>
          <w:sz w:val="28"/>
          <w:szCs w:val="28"/>
        </w:rPr>
        <w:t>6.5. Standard Operating Procedure (SOP) for Untraceable Entities: The following SOP has to be followed by designated AD Category-I banks in case of untraceable entities who are found to be in contravention of reporting provisions for ECBs by failing to submit prescribed return(s) under the ECB framework, either physically or electronically, for past eight quarters or more.</w:t>
      </w:r>
    </w:p>
    <w:p w:rsidR="00AF0201" w:rsidRPr="00AF0201" w:rsidRDefault="00AF0201" w:rsidP="00F822D8">
      <w:pPr>
        <w:jc w:val="both"/>
        <w:rPr>
          <w:rFonts w:ascii="Arial Narrow" w:hAnsi="Arial Narrow"/>
          <w:sz w:val="28"/>
          <w:szCs w:val="28"/>
        </w:rPr>
      </w:pPr>
      <w:proofErr w:type="spellStart"/>
      <w:r w:rsidRPr="00AF0201">
        <w:rPr>
          <w:rFonts w:ascii="Arial Narrow" w:hAnsi="Arial Narrow"/>
          <w:sz w:val="28"/>
          <w:szCs w:val="28"/>
        </w:rPr>
        <w:t>i</w:t>
      </w:r>
      <w:proofErr w:type="spellEnd"/>
      <w:r w:rsidRPr="00AF0201">
        <w:rPr>
          <w:rFonts w:ascii="Arial Narrow" w:hAnsi="Arial Narrow"/>
          <w:sz w:val="28"/>
          <w:szCs w:val="28"/>
        </w:rPr>
        <w:t xml:space="preserve">. Definition: Any borrower who has raised ECB will be treated as ‘untraceable entity’, if entity/auditor(s)/director(s)/ promoter(s) of entity are not reachable/responsive/reply in negative over email/letters/phone for a period of not less than two quarters with documented communication/ reminders numbering 6 or more and it </w:t>
      </w:r>
      <w:proofErr w:type="spellStart"/>
      <w:r w:rsidRPr="00AF0201">
        <w:rPr>
          <w:rFonts w:ascii="Arial Narrow" w:hAnsi="Arial Narrow"/>
          <w:sz w:val="28"/>
          <w:szCs w:val="28"/>
        </w:rPr>
        <w:t>fulfills</w:t>
      </w:r>
      <w:proofErr w:type="spellEnd"/>
      <w:r w:rsidRPr="00AF0201">
        <w:rPr>
          <w:rFonts w:ascii="Arial Narrow" w:hAnsi="Arial Narrow"/>
          <w:sz w:val="28"/>
          <w:szCs w:val="28"/>
        </w:rPr>
        <w:t xml:space="preserve"> both of the following conditions:</w:t>
      </w:r>
    </w:p>
    <w:p w:rsidR="00AF0201" w:rsidRPr="00AF0201" w:rsidRDefault="00AF0201" w:rsidP="00F822D8">
      <w:pPr>
        <w:jc w:val="both"/>
        <w:rPr>
          <w:rFonts w:ascii="Arial Narrow" w:hAnsi="Arial Narrow"/>
          <w:sz w:val="28"/>
          <w:szCs w:val="28"/>
        </w:rPr>
      </w:pPr>
      <w:r w:rsidRPr="00AF0201">
        <w:rPr>
          <w:rFonts w:ascii="Arial Narrow" w:hAnsi="Arial Narrow"/>
          <w:sz w:val="28"/>
          <w:szCs w:val="28"/>
        </w:rPr>
        <w:lastRenderedPageBreak/>
        <w:t>a) Entity not found to be operative at the registered office address as per records available with the AD Bank or not found to be operative during the visit by the officials of the AD Bank or any other agencies authorised by the AD bank for the purpose;</w:t>
      </w:r>
    </w:p>
    <w:p w:rsidR="00AF0201" w:rsidRDefault="00AF0201" w:rsidP="00F822D8">
      <w:pPr>
        <w:jc w:val="both"/>
      </w:pPr>
      <w:r w:rsidRPr="00AF0201">
        <w:rPr>
          <w:rFonts w:ascii="Arial Narrow" w:hAnsi="Arial Narrow"/>
          <w:sz w:val="28"/>
          <w:szCs w:val="28"/>
        </w:rPr>
        <w:t>b) Entities have not submitted Statutory Auditor’s Certificate for last two years or more;</w:t>
      </w:r>
      <w:r w:rsidRPr="00AF0201">
        <w:t xml:space="preserve"> </w:t>
      </w:r>
    </w:p>
    <w:p w:rsidR="00AF0201" w:rsidRPr="00AF0201" w:rsidRDefault="00AF0201" w:rsidP="00F822D8">
      <w:pPr>
        <w:jc w:val="both"/>
        <w:rPr>
          <w:rFonts w:ascii="Arial Narrow" w:hAnsi="Arial Narrow"/>
          <w:sz w:val="28"/>
          <w:szCs w:val="28"/>
        </w:rPr>
      </w:pPr>
      <w:r w:rsidRPr="00AF0201">
        <w:rPr>
          <w:rFonts w:ascii="Arial Narrow" w:hAnsi="Arial Narrow"/>
          <w:sz w:val="28"/>
          <w:szCs w:val="28"/>
        </w:rPr>
        <w:t>ii. Action: The followings actions are to be undertaken in respect of ‘untraceable entities’:</w:t>
      </w:r>
    </w:p>
    <w:p w:rsidR="00AF0201" w:rsidRPr="00AF0201" w:rsidRDefault="00AF0201" w:rsidP="00F822D8">
      <w:pPr>
        <w:jc w:val="both"/>
        <w:rPr>
          <w:rFonts w:ascii="Arial Narrow" w:hAnsi="Arial Narrow"/>
          <w:sz w:val="28"/>
          <w:szCs w:val="28"/>
        </w:rPr>
      </w:pPr>
      <w:r w:rsidRPr="00AF0201">
        <w:rPr>
          <w:rFonts w:ascii="Arial Narrow" w:hAnsi="Arial Narrow"/>
          <w:sz w:val="28"/>
          <w:szCs w:val="28"/>
        </w:rPr>
        <w:t>a) File Revised Form ECB, if required, and last Form ECB 2 Return without certification from company with ‘UNTRACEABLE ENTITY’ written in bold on top. The outstanding amount will be treated as written-off from external debt liability of the country but</w:t>
      </w:r>
      <w:r>
        <w:rPr>
          <w:rFonts w:ascii="Arial Narrow" w:hAnsi="Arial Narrow"/>
          <w:sz w:val="28"/>
          <w:szCs w:val="28"/>
        </w:rPr>
        <w:t xml:space="preserve"> </w:t>
      </w:r>
      <w:r w:rsidRPr="00AF0201">
        <w:rPr>
          <w:rFonts w:ascii="Arial Narrow" w:hAnsi="Arial Narrow"/>
          <w:sz w:val="28"/>
          <w:szCs w:val="28"/>
        </w:rPr>
        <w:t>may be retained by the lender in its books for recovery through judicial/ non-judicial means; b) No fresh ECB application by the entity should be examined/processed by the AD bank;</w:t>
      </w:r>
    </w:p>
    <w:p w:rsidR="00AF0201" w:rsidRPr="00AF0201" w:rsidRDefault="00AF0201" w:rsidP="00F822D8">
      <w:pPr>
        <w:jc w:val="both"/>
        <w:rPr>
          <w:rFonts w:ascii="Arial Narrow" w:hAnsi="Arial Narrow"/>
          <w:sz w:val="28"/>
          <w:szCs w:val="28"/>
        </w:rPr>
      </w:pPr>
      <w:r w:rsidRPr="00AF0201">
        <w:rPr>
          <w:rFonts w:ascii="Arial Narrow" w:hAnsi="Arial Narrow"/>
          <w:sz w:val="28"/>
          <w:szCs w:val="28"/>
        </w:rPr>
        <w:t>c) Directorate of Enforcement should be informed whenever any entity is designated ‘UNTRACEABLE ENTITY’; and</w:t>
      </w:r>
    </w:p>
    <w:p w:rsidR="00AF0201" w:rsidRDefault="00AF0201" w:rsidP="00F822D8">
      <w:pPr>
        <w:jc w:val="both"/>
        <w:rPr>
          <w:rFonts w:ascii="Arial Narrow" w:hAnsi="Arial Narrow"/>
          <w:sz w:val="28"/>
          <w:szCs w:val="28"/>
        </w:rPr>
      </w:pPr>
      <w:r w:rsidRPr="00AF0201">
        <w:rPr>
          <w:rFonts w:ascii="Arial Narrow" w:hAnsi="Arial Narrow"/>
          <w:sz w:val="28"/>
          <w:szCs w:val="28"/>
        </w:rPr>
        <w:t>d) No inward remittance or debt servicing will be permitted under auto route.</w:t>
      </w:r>
    </w:p>
    <w:p w:rsidR="00AF0201" w:rsidRDefault="00AF0201" w:rsidP="00F822D8">
      <w:pPr>
        <w:jc w:val="both"/>
        <w:rPr>
          <w:rFonts w:ascii="Arial Narrow" w:hAnsi="Arial Narrow"/>
          <w:sz w:val="28"/>
          <w:szCs w:val="28"/>
        </w:rPr>
      </w:pPr>
      <w:r w:rsidRPr="00AF0201">
        <w:rPr>
          <w:rFonts w:ascii="Arial Narrow" w:hAnsi="Arial Narrow"/>
          <w:sz w:val="28"/>
          <w:szCs w:val="28"/>
        </w:rPr>
        <w:t>7. Powers delegated to AD Category I banks to deal with ECB cases: The designated AD Category I banks can approve any requests from the borrowers for changes in respect of ECBs, except for FCCBs/FCEBs, duly ensuring that the changed conditions, including change in name of borrower/lender, transfer of ECB and any other parameters, comply with extant ECB norms and are with the consent of lender(s). Further, the following can also be undertaken under the automatic route:</w:t>
      </w:r>
    </w:p>
    <w:p w:rsidR="00AF0201" w:rsidRPr="00AF0201" w:rsidRDefault="00AF0201" w:rsidP="00F822D8">
      <w:pPr>
        <w:jc w:val="both"/>
        <w:rPr>
          <w:rFonts w:ascii="Arial Narrow" w:hAnsi="Arial Narrow"/>
          <w:sz w:val="28"/>
          <w:szCs w:val="28"/>
        </w:rPr>
      </w:pPr>
      <w:r w:rsidRPr="00AF0201">
        <w:rPr>
          <w:rFonts w:ascii="Arial Narrow" w:hAnsi="Arial Narrow"/>
          <w:sz w:val="28"/>
          <w:szCs w:val="28"/>
        </w:rPr>
        <w:t>7.1. Change of the AD Category I bank: AD Category I bank can be changed subject to obtaining no objection certificate from the existing AD Category I bank.</w:t>
      </w:r>
    </w:p>
    <w:p w:rsidR="00AF0201" w:rsidRDefault="00AF0201" w:rsidP="00F822D8">
      <w:pPr>
        <w:jc w:val="both"/>
        <w:rPr>
          <w:rFonts w:ascii="Arial Narrow" w:hAnsi="Arial Narrow"/>
          <w:sz w:val="28"/>
          <w:szCs w:val="28"/>
        </w:rPr>
      </w:pPr>
      <w:r w:rsidRPr="00AF0201">
        <w:rPr>
          <w:rFonts w:ascii="Arial Narrow" w:hAnsi="Arial Narrow"/>
          <w:sz w:val="28"/>
          <w:szCs w:val="28"/>
        </w:rPr>
        <w:t>7.2. Cancellation of LRN: The designated AD Category I banks may directly approach DSIM for cancellation of LRN for ECBs contracted, subject to ensuring that no draw down against the said LRN has taken place and the monthly ECB-2 returns till date in respect of the allotted LRN have been submitted to DSIM.</w:t>
      </w:r>
    </w:p>
    <w:p w:rsidR="00AF0201" w:rsidRDefault="00AF0201" w:rsidP="00F822D8">
      <w:pPr>
        <w:jc w:val="both"/>
        <w:rPr>
          <w:rFonts w:ascii="Arial Narrow" w:hAnsi="Arial Narrow"/>
          <w:sz w:val="28"/>
          <w:szCs w:val="28"/>
        </w:rPr>
      </w:pPr>
      <w:r w:rsidRPr="00AF0201">
        <w:rPr>
          <w:rFonts w:ascii="Arial Narrow" w:hAnsi="Arial Narrow"/>
          <w:sz w:val="28"/>
          <w:szCs w:val="28"/>
        </w:rPr>
        <w:t xml:space="preserve">7.3. Refinancing of existing ECB: Refinancing of existing ECB by fresh ECB provided the outstanding maturity of the original borrowing (weighted outstanding maturity in case of multiple borrowings) is not reduced and all-in-cost of fresh ECB is lower than the all-in-cost (weighted average cost in case of multiple borrowings) of existing ECB. Further, refinancing of ECBs raised under the previous ECB frameworks may also be permitted, subject to additionally ensuring that the borrower is eligible to raise ECB under the extant framework. Raising of fresh ECB to part refinance the existing ECB is also permitted subject to same conditions. Indian </w:t>
      </w:r>
      <w:r w:rsidRPr="00AF0201">
        <w:rPr>
          <w:rFonts w:ascii="Arial Narrow" w:hAnsi="Arial Narrow"/>
          <w:sz w:val="28"/>
          <w:szCs w:val="28"/>
        </w:rPr>
        <w:lastRenderedPageBreak/>
        <w:t xml:space="preserve">banks are permitted to participate in refinancing of existing ECB, only for highly rated corporates (AAA) and for </w:t>
      </w:r>
      <w:proofErr w:type="spellStart"/>
      <w:r w:rsidRPr="00AF0201">
        <w:rPr>
          <w:rFonts w:ascii="Arial Narrow" w:hAnsi="Arial Narrow"/>
          <w:sz w:val="28"/>
          <w:szCs w:val="28"/>
        </w:rPr>
        <w:t>Maharatna</w:t>
      </w:r>
      <w:proofErr w:type="spellEnd"/>
      <w:r w:rsidR="00F256C8">
        <w:rPr>
          <w:rFonts w:ascii="Arial Narrow" w:hAnsi="Arial Narrow"/>
          <w:sz w:val="28"/>
          <w:szCs w:val="28"/>
        </w:rPr>
        <w:t xml:space="preserve"> </w:t>
      </w:r>
      <w:r w:rsidRPr="00AF0201">
        <w:rPr>
          <w:rFonts w:ascii="Arial Narrow" w:hAnsi="Arial Narrow"/>
          <w:sz w:val="28"/>
          <w:szCs w:val="28"/>
        </w:rPr>
        <w:t>/</w:t>
      </w:r>
      <w:r w:rsidR="00F256C8">
        <w:rPr>
          <w:rFonts w:ascii="Arial Narrow" w:hAnsi="Arial Narrow"/>
          <w:sz w:val="28"/>
          <w:szCs w:val="28"/>
        </w:rPr>
        <w:t xml:space="preserve"> </w:t>
      </w:r>
      <w:proofErr w:type="spellStart"/>
      <w:r w:rsidRPr="00AF0201">
        <w:rPr>
          <w:rFonts w:ascii="Arial Narrow" w:hAnsi="Arial Narrow"/>
          <w:sz w:val="28"/>
          <w:szCs w:val="28"/>
        </w:rPr>
        <w:t>Navratna</w:t>
      </w:r>
      <w:proofErr w:type="spellEnd"/>
      <w:r w:rsidRPr="00AF0201">
        <w:rPr>
          <w:rFonts w:ascii="Arial Narrow" w:hAnsi="Arial Narrow"/>
          <w:sz w:val="28"/>
          <w:szCs w:val="28"/>
        </w:rPr>
        <w:t xml:space="preserve"> public sector undertakings.</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7.4. Conversion of ECB into equity: Conversion of ECBs, including those which are matured but unpaid, into equity is permitted subject to the following conditions:</w:t>
      </w:r>
    </w:p>
    <w:p w:rsidR="00F256C8" w:rsidRPr="00F256C8" w:rsidRDefault="00F256C8" w:rsidP="00F822D8">
      <w:pPr>
        <w:jc w:val="both"/>
        <w:rPr>
          <w:rFonts w:ascii="Arial Narrow" w:hAnsi="Arial Narrow"/>
          <w:sz w:val="28"/>
          <w:szCs w:val="28"/>
        </w:rPr>
      </w:pPr>
      <w:proofErr w:type="spellStart"/>
      <w:r w:rsidRPr="00F256C8">
        <w:rPr>
          <w:rFonts w:ascii="Arial Narrow" w:hAnsi="Arial Narrow"/>
          <w:sz w:val="28"/>
          <w:szCs w:val="28"/>
        </w:rPr>
        <w:t>i</w:t>
      </w:r>
      <w:proofErr w:type="spellEnd"/>
      <w:r w:rsidRPr="00F256C8">
        <w:rPr>
          <w:rFonts w:ascii="Arial Narrow" w:hAnsi="Arial Narrow"/>
          <w:sz w:val="28"/>
          <w:szCs w:val="28"/>
        </w:rPr>
        <w:t>. The activity of the borrowing company is covered under the automatic route for FDI or Government approval is received, wherever applicable, for foreign equity participation as per extant FDI policy.</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ii. The conversion, which should be with the lender’s consent and without any additional cost, should not result in contravention of eligibility and breach of applicable sector cap on the foreign equity holding under FDI policy;</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iii. Applicable pricing guidelines for shares are complied with;</w:t>
      </w:r>
    </w:p>
    <w:p w:rsidR="00F256C8" w:rsidRDefault="00F256C8" w:rsidP="00F822D8">
      <w:pPr>
        <w:jc w:val="both"/>
        <w:rPr>
          <w:rFonts w:ascii="Arial Narrow" w:hAnsi="Arial Narrow"/>
          <w:sz w:val="28"/>
          <w:szCs w:val="28"/>
        </w:rPr>
      </w:pPr>
      <w:r w:rsidRPr="00F256C8">
        <w:rPr>
          <w:rFonts w:ascii="Arial Narrow" w:hAnsi="Arial Narrow"/>
          <w:sz w:val="28"/>
          <w:szCs w:val="28"/>
        </w:rPr>
        <w:t>iv. In case of partial or full conversion of ECB into equity, the reporting to the Reserve Bank will be as under:</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a. For partial conversion, the converted portion is to be reported in Form FC-GPR prescribed for reporting of FDI flows, while monthly reporting to DSIM in Form ECB 2 Return will be with suitable remarks, viz., "ECB partially converted to equity".</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b. For full conversion, the entire portion is to be reported in Form FC-GPR, while reporting to DSIM in Form ECB 2 Return should be done with remarks “ECB fully converted to equity”. Subsequent filing of Form ECB 2 Return is not required.</w:t>
      </w:r>
    </w:p>
    <w:p w:rsidR="00F256C8" w:rsidRDefault="00F256C8" w:rsidP="00F822D8">
      <w:pPr>
        <w:jc w:val="both"/>
        <w:rPr>
          <w:rFonts w:ascii="Arial Narrow" w:hAnsi="Arial Narrow"/>
          <w:sz w:val="28"/>
          <w:szCs w:val="28"/>
        </w:rPr>
      </w:pPr>
      <w:r w:rsidRPr="00F256C8">
        <w:rPr>
          <w:rFonts w:ascii="Arial Narrow" w:hAnsi="Arial Narrow"/>
          <w:sz w:val="28"/>
          <w:szCs w:val="28"/>
        </w:rPr>
        <w:t>c. For conversion of ECB into equity in phases, reporting through Form FC-GPR and Form ECB 2 Return will also be in phases.</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v. If the borrower concerned has availed of other credit facilities from the Indian banking system, including foreign branches/subsidiaries of Indian banks, the applicable prudential guidelines issued by the Department of Banking Regulation of Reserve Bank, including guidelines on restructuring are complied with;</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 xml:space="preserve">vi. Consent of other lenders, if any, to the same borrower is available or </w:t>
      </w:r>
      <w:proofErr w:type="spellStart"/>
      <w:r w:rsidRPr="00F256C8">
        <w:rPr>
          <w:rFonts w:ascii="Arial Narrow" w:hAnsi="Arial Narrow"/>
          <w:sz w:val="28"/>
          <w:szCs w:val="28"/>
        </w:rPr>
        <w:t>atleast</w:t>
      </w:r>
      <w:proofErr w:type="spellEnd"/>
      <w:r w:rsidRPr="00F256C8">
        <w:rPr>
          <w:rFonts w:ascii="Arial Narrow" w:hAnsi="Arial Narrow"/>
          <w:sz w:val="28"/>
          <w:szCs w:val="28"/>
        </w:rPr>
        <w:t xml:space="preserve"> information regarding conversions is exchanged with other lenders of the borrower.</w:t>
      </w:r>
    </w:p>
    <w:p w:rsidR="00F256C8" w:rsidRDefault="00F256C8" w:rsidP="00F822D8">
      <w:pPr>
        <w:jc w:val="both"/>
        <w:rPr>
          <w:rFonts w:ascii="Arial Narrow" w:hAnsi="Arial Narrow"/>
          <w:sz w:val="28"/>
          <w:szCs w:val="28"/>
        </w:rPr>
      </w:pPr>
      <w:r w:rsidRPr="00F256C8">
        <w:rPr>
          <w:rFonts w:ascii="Arial Narrow" w:hAnsi="Arial Narrow"/>
          <w:sz w:val="28"/>
          <w:szCs w:val="28"/>
        </w:rPr>
        <w:t>vii. For conversion of ECB dues into equity, the exchange rate prevailing on the date of the agreement between the parties concerned for such conversion or any lesser rate can be applied with a mutual agreement with the ECB lender. It may be noted that the fair value of the equity shares to be issued shall be worked out with reference to the date of conversion only.</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lastRenderedPageBreak/>
        <w:t>7.5. Security for raising ECB: AD Category I banks are permitted to allow creation/cancellation of charge on immovable assets, movable assets, financial securities and issue of corporate and/or personal guarantees in favour of overseas lender / security trustee, to secure the ECB to be raised/ raised by the borrower, subject to satisfying themselves that:</w:t>
      </w:r>
    </w:p>
    <w:p w:rsidR="00F256C8" w:rsidRPr="00F256C8" w:rsidRDefault="00F256C8" w:rsidP="00F822D8">
      <w:pPr>
        <w:jc w:val="both"/>
        <w:rPr>
          <w:rFonts w:ascii="Arial Narrow" w:hAnsi="Arial Narrow"/>
          <w:sz w:val="28"/>
          <w:szCs w:val="28"/>
        </w:rPr>
      </w:pPr>
      <w:proofErr w:type="spellStart"/>
      <w:r w:rsidRPr="00F256C8">
        <w:rPr>
          <w:rFonts w:ascii="Arial Narrow" w:hAnsi="Arial Narrow"/>
          <w:sz w:val="28"/>
          <w:szCs w:val="28"/>
        </w:rPr>
        <w:t>i</w:t>
      </w:r>
      <w:proofErr w:type="spellEnd"/>
      <w:r w:rsidRPr="00F256C8">
        <w:rPr>
          <w:rFonts w:ascii="Arial Narrow" w:hAnsi="Arial Narrow"/>
          <w:sz w:val="28"/>
          <w:szCs w:val="28"/>
        </w:rPr>
        <w:t>. the underlying ECB is in compliance with the extant ECB guidelines,</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ii. there exists a security clause in the Loan Agreement requiring the ECB borrower to create/cancel charge, in favour of overseas lender/security trustee, on immovable assets/movable assets/financial securities/issuance of corporate and/or personal guarantee, and</w:t>
      </w:r>
    </w:p>
    <w:p w:rsidR="00F256C8" w:rsidRDefault="00F256C8" w:rsidP="00F822D8">
      <w:pPr>
        <w:jc w:val="both"/>
        <w:rPr>
          <w:rFonts w:ascii="Arial Narrow" w:hAnsi="Arial Narrow"/>
          <w:sz w:val="28"/>
          <w:szCs w:val="28"/>
        </w:rPr>
      </w:pPr>
      <w:r w:rsidRPr="00F256C8">
        <w:rPr>
          <w:rFonts w:ascii="Arial Narrow" w:hAnsi="Arial Narrow"/>
          <w:sz w:val="28"/>
          <w:szCs w:val="28"/>
        </w:rPr>
        <w:t>iii. No objection certificate, as applicable, from the existing lenders in India has been obtained in case of creation of charge.</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Once the aforesaid stipulations are met, the AD Category I bank may permit creation of charge on immovable assets, movable assets, financial securities and issue of corporate and/or personal guarantees, during the currency of the ECB with security co-terminating with underlying ECB, subject to the following:</w:t>
      </w:r>
    </w:p>
    <w:p w:rsidR="00F256C8" w:rsidRPr="00F256C8" w:rsidRDefault="00F256C8" w:rsidP="00F822D8">
      <w:pPr>
        <w:jc w:val="both"/>
        <w:rPr>
          <w:rFonts w:ascii="Arial Narrow" w:hAnsi="Arial Narrow"/>
          <w:sz w:val="28"/>
          <w:szCs w:val="28"/>
        </w:rPr>
      </w:pPr>
      <w:proofErr w:type="spellStart"/>
      <w:r w:rsidRPr="00F256C8">
        <w:rPr>
          <w:rFonts w:ascii="Arial Narrow" w:hAnsi="Arial Narrow"/>
          <w:sz w:val="28"/>
          <w:szCs w:val="28"/>
        </w:rPr>
        <w:t>i</w:t>
      </w:r>
      <w:proofErr w:type="spellEnd"/>
      <w:r w:rsidRPr="00F256C8">
        <w:rPr>
          <w:rFonts w:ascii="Arial Narrow" w:hAnsi="Arial Narrow"/>
          <w:sz w:val="28"/>
          <w:szCs w:val="28"/>
        </w:rPr>
        <w:t>. Creation of Charge on Immovable Assets: The arrangement shall be subject to the following:</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a) Such security shall be subject to provisions contained in the Foreign Exchange Management (Acquisition and Transfer of Immovable Property in India) Regulations, 2017, as amended from time to time.</w:t>
      </w:r>
    </w:p>
    <w:p w:rsidR="00F256C8" w:rsidRDefault="00F256C8" w:rsidP="00F822D8">
      <w:pPr>
        <w:jc w:val="both"/>
        <w:rPr>
          <w:rFonts w:ascii="Arial Narrow" w:hAnsi="Arial Narrow"/>
          <w:sz w:val="28"/>
          <w:szCs w:val="28"/>
        </w:rPr>
      </w:pPr>
      <w:r w:rsidRPr="00F256C8">
        <w:rPr>
          <w:rFonts w:ascii="Arial Narrow" w:hAnsi="Arial Narrow"/>
          <w:sz w:val="28"/>
          <w:szCs w:val="28"/>
        </w:rPr>
        <w:t>b) The permission should not be construed as a permission to acquire immovable asset (property) in India, by the overseas lender/ security trustee.</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c) In the event of enforcement / invocation of the charge, the immovable asset/ property will have to be sold only to a person resident in India and the sale proceeds shall be repatriated to liquidate the outstanding ECB.</w:t>
      </w:r>
    </w:p>
    <w:p w:rsidR="00F256C8" w:rsidRDefault="00F256C8" w:rsidP="00F822D8">
      <w:pPr>
        <w:jc w:val="both"/>
        <w:rPr>
          <w:rFonts w:ascii="Arial Narrow" w:hAnsi="Arial Narrow"/>
          <w:sz w:val="28"/>
          <w:szCs w:val="28"/>
        </w:rPr>
      </w:pPr>
      <w:r w:rsidRPr="00F256C8">
        <w:rPr>
          <w:rFonts w:ascii="Arial Narrow" w:hAnsi="Arial Narrow"/>
          <w:sz w:val="28"/>
          <w:szCs w:val="28"/>
        </w:rPr>
        <w:t>ii. Creation of Charge on Movable Assets: In the event of enforcement/ invocation of the charge, the claim of the lender, whether the lender takes over the movable asset or otherwise, will be restricted to the outstanding claim against the ECB. Encumbered movable assets may also be taken out of the country subject to getting ‘No Objection Certificate’ from domestic lender/s, if any.</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iii. Creation of Charge over Financial Securities: The arrangements may be permitted subject to the following:</w:t>
      </w:r>
    </w:p>
    <w:p w:rsidR="00F256C8" w:rsidRDefault="00F256C8" w:rsidP="00F822D8">
      <w:pPr>
        <w:jc w:val="both"/>
        <w:rPr>
          <w:rFonts w:ascii="Arial Narrow" w:hAnsi="Arial Narrow"/>
          <w:sz w:val="28"/>
          <w:szCs w:val="28"/>
        </w:rPr>
      </w:pPr>
      <w:r w:rsidRPr="00F256C8">
        <w:rPr>
          <w:rFonts w:ascii="Arial Narrow" w:hAnsi="Arial Narrow"/>
          <w:sz w:val="28"/>
          <w:szCs w:val="28"/>
        </w:rPr>
        <w:t xml:space="preserve">a) Pledge of shares of the borrowing company held by the promoters as well as in domestic associate companies of the borrower is permitted. Pledge on other financial securities, viz. bonds and debentures, Government Securities, Government Savings </w:t>
      </w:r>
      <w:r w:rsidRPr="00F256C8">
        <w:rPr>
          <w:rFonts w:ascii="Arial Narrow" w:hAnsi="Arial Narrow"/>
          <w:sz w:val="28"/>
          <w:szCs w:val="28"/>
        </w:rPr>
        <w:lastRenderedPageBreak/>
        <w:t>Certificates, deposit receipts of securities and units of the Unit Trust of India or of any mutual funds, standing in the name of ECB borrower/promoter, is also permitted.</w:t>
      </w:r>
    </w:p>
    <w:p w:rsidR="00F256C8" w:rsidRPr="00F256C8" w:rsidRDefault="00F256C8" w:rsidP="00F822D8">
      <w:pPr>
        <w:jc w:val="both"/>
        <w:rPr>
          <w:rFonts w:ascii="Arial Narrow" w:hAnsi="Arial Narrow"/>
          <w:sz w:val="28"/>
          <w:szCs w:val="28"/>
        </w:rPr>
      </w:pPr>
      <w:r w:rsidRPr="00F256C8">
        <w:rPr>
          <w:rFonts w:ascii="Arial Narrow" w:hAnsi="Arial Narrow"/>
          <w:sz w:val="28"/>
          <w:szCs w:val="28"/>
        </w:rPr>
        <w:t>b) In addition, security interest over all current and future loan assets and all current assets including cash and cash equivalents, including Rupee accounts of the borrower with ADs in India, standing in the name of the borrower/promoter, can be used as security for ECB. The Rupee accounts of the borrower/promoter can also be in the form of escrow arrangement or debt service reserve account.</w:t>
      </w:r>
    </w:p>
    <w:p w:rsidR="00F256C8" w:rsidRDefault="00F256C8" w:rsidP="00F822D8">
      <w:pPr>
        <w:jc w:val="both"/>
        <w:rPr>
          <w:rFonts w:ascii="Arial Narrow" w:hAnsi="Arial Narrow"/>
          <w:sz w:val="28"/>
          <w:szCs w:val="28"/>
        </w:rPr>
      </w:pPr>
      <w:r w:rsidRPr="00F256C8">
        <w:rPr>
          <w:rFonts w:ascii="Arial Narrow" w:hAnsi="Arial Narrow"/>
          <w:sz w:val="28"/>
          <w:szCs w:val="28"/>
        </w:rPr>
        <w:t>c) In case of invocation of pledge, transfer of financial securities shall be in accordance with the extant FDI/FII policy including provisions relating to sectoral cap and pricing as applicable read with the Foreign Exchange Management (Transfer or Issue of Security by a Person Resident outside India) Regulations, 2017, as amended from time to time.</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iv. Issue of Corporate or Personal Guarantee: The arrangement shall be subject to the following:</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a) A copy of Board Resolution for the issue of corporate guarantee for the company issuing such guarantee, specifying name of the officials authorised to execute such guarantees on behalf of the company or in individual capacity should be obtained.</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b) Specific requests from individuals to issue personal guarantee indicating details of the ECB should be obtained.</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c) Such security shall be subject to provisions contained in the Foreign Exchange Management (Guarantees) Regulations, 2000, as amended from time to time.</w:t>
      </w:r>
    </w:p>
    <w:p w:rsidR="00717FDE" w:rsidRDefault="00717FDE" w:rsidP="00F822D8">
      <w:pPr>
        <w:jc w:val="both"/>
        <w:rPr>
          <w:rFonts w:ascii="Arial Narrow" w:hAnsi="Arial Narrow"/>
          <w:sz w:val="28"/>
          <w:szCs w:val="28"/>
        </w:rPr>
      </w:pPr>
      <w:r w:rsidRPr="00717FDE">
        <w:rPr>
          <w:rFonts w:ascii="Arial Narrow" w:hAnsi="Arial Narrow"/>
          <w:sz w:val="28"/>
          <w:szCs w:val="28"/>
        </w:rPr>
        <w:t>d) ECB can be credit enhanced / guaranteed / insured by overseas party/ parties only if it/ they fulfil/s the criteria of recognised lender under extant ECB guidelines.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7.6. Additional Requirements: While exercising the delegated powers, the AD Category I banks should ensure that:</w:t>
      </w:r>
    </w:p>
    <w:p w:rsidR="00717FDE" w:rsidRDefault="00717FDE" w:rsidP="00F822D8">
      <w:pPr>
        <w:jc w:val="both"/>
        <w:rPr>
          <w:rFonts w:ascii="Arial Narrow" w:hAnsi="Arial Narrow"/>
          <w:sz w:val="28"/>
          <w:szCs w:val="28"/>
        </w:rPr>
      </w:pPr>
      <w:proofErr w:type="spellStart"/>
      <w:r w:rsidRPr="00717FDE">
        <w:rPr>
          <w:rFonts w:ascii="Arial Narrow" w:hAnsi="Arial Narrow"/>
          <w:sz w:val="28"/>
          <w:szCs w:val="28"/>
        </w:rPr>
        <w:t>i</w:t>
      </w:r>
      <w:proofErr w:type="spellEnd"/>
      <w:r w:rsidRPr="00717FDE">
        <w:rPr>
          <w:rFonts w:ascii="Arial Narrow" w:hAnsi="Arial Narrow"/>
          <w:sz w:val="28"/>
          <w:szCs w:val="28"/>
        </w:rPr>
        <w:t>. The changes permitted are in conformity with the applicable ceilings / guidelines and the ECB continues to be in compliance with applicable guidelines. It should also be ensured that if the ECB borrower has availed of credit facilities from the Indian banking system, including foreign branches/subsidiaries of Indian banks, any extension of tenure of ECB</w:t>
      </w:r>
      <w:r>
        <w:rPr>
          <w:rFonts w:ascii="Arial Narrow" w:hAnsi="Arial Narrow"/>
          <w:sz w:val="28"/>
          <w:szCs w:val="28"/>
        </w:rPr>
        <w:t xml:space="preserve"> </w:t>
      </w:r>
      <w:r w:rsidRPr="00717FDE">
        <w:rPr>
          <w:rFonts w:ascii="Arial Narrow" w:hAnsi="Arial Narrow"/>
          <w:sz w:val="28"/>
          <w:szCs w:val="28"/>
        </w:rPr>
        <w:t>(whether matured or not) shall be subject to applicable prudential guidelines issued by Department of Banking Regulation of Reserve Bank including guidelines on restructuring. ii. The changes in the terms and conditions of ECB allowed by the ADs under the powers delegated and / or changes approved by the Reserve Bank should be reported to the DSIM as given at paragraph 6.2 above. Further, these changes should also get reflected in the Form ECB 2 returns appropriately.</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lastRenderedPageBreak/>
        <w:t>8. Special Dispensations under the ECB framework:</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8.1. ECB facility for Oil Marketing Companies: Notwithstanding the provisions contained in paragraph 2.1 (viii), 2.1 (x) and 2.2 above, Public Sector Oil Marketing Companies (OMCs) can raise ECB for working capital purposes with minimum average maturity period of 3 years from all recognised lenders under the automatic route without mandatory hedging and individual limit requirements. The overall ceiling for such ECB shall be USD 10 billion or equivalent. However, OMCs should have a Board approved forex mark to market procedure and prudent risk management policy, for such ECB. All other provisions under the ECB framework will be applicable to such ECB.</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 xml:space="preserve">8.2. ECB facility for </w:t>
      </w:r>
      <w:proofErr w:type="spellStart"/>
      <w:r w:rsidRPr="00717FDE">
        <w:rPr>
          <w:rFonts w:ascii="Arial Narrow" w:hAnsi="Arial Narrow"/>
          <w:sz w:val="28"/>
          <w:szCs w:val="28"/>
        </w:rPr>
        <w:t>Startups</w:t>
      </w:r>
      <w:proofErr w:type="spellEnd"/>
      <w:r w:rsidRPr="00717FDE">
        <w:rPr>
          <w:rFonts w:ascii="Arial Narrow" w:hAnsi="Arial Narrow"/>
          <w:sz w:val="28"/>
          <w:szCs w:val="28"/>
        </w:rPr>
        <w:t xml:space="preserve">: AD Category-I banks are permitted to allow </w:t>
      </w:r>
      <w:proofErr w:type="spellStart"/>
      <w:r w:rsidRPr="00717FDE">
        <w:rPr>
          <w:rFonts w:ascii="Arial Narrow" w:hAnsi="Arial Narrow"/>
          <w:sz w:val="28"/>
          <w:szCs w:val="28"/>
        </w:rPr>
        <w:t>Startups</w:t>
      </w:r>
      <w:proofErr w:type="spellEnd"/>
      <w:r w:rsidRPr="00717FDE">
        <w:rPr>
          <w:rFonts w:ascii="Arial Narrow" w:hAnsi="Arial Narrow"/>
          <w:sz w:val="28"/>
          <w:szCs w:val="28"/>
        </w:rPr>
        <w:t xml:space="preserve"> to raise ECB under the automatic route as per the following framework:</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 xml:space="preserve">Eligibility: An entity recognised as a </w:t>
      </w:r>
      <w:proofErr w:type="spellStart"/>
      <w:r w:rsidRPr="00717FDE">
        <w:rPr>
          <w:rFonts w:ascii="Arial Narrow" w:hAnsi="Arial Narrow"/>
          <w:sz w:val="28"/>
          <w:szCs w:val="28"/>
        </w:rPr>
        <w:t>Startup</w:t>
      </w:r>
      <w:proofErr w:type="spellEnd"/>
      <w:r w:rsidRPr="00717FDE">
        <w:rPr>
          <w:rFonts w:ascii="Arial Narrow" w:hAnsi="Arial Narrow"/>
          <w:sz w:val="28"/>
          <w:szCs w:val="28"/>
        </w:rPr>
        <w:t xml:space="preserve"> by the Central Government as on date of raising ECB.</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Maturity: Minimum average maturity period will be 3 years.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Recognised lender: Lender / investor shall be a resident of a FATF compliant country. However, foreign branches/subsidiaries of Indian banks and overseas entity in which Indian entity has made overseas direct investment as per the extant Overseas Direct Investment Policy will not be considered as recognised lenders under this framework.</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Forms: The borrowing can be in form of loans or non-convertible, optionally convertible or partially convertible preference shares.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Currency: The borrowing should be denominated in any freely convertible currency or in Indian Rupees (INR) or a combination thereof. In case of borrowing in INR, the non-resident lender, should mobilise INR through swaps/outright sale undertaken through an AD Category-I bank in India.</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 xml:space="preserve">Amount: The borrowing per </w:t>
      </w:r>
      <w:proofErr w:type="spellStart"/>
      <w:r w:rsidRPr="00717FDE">
        <w:rPr>
          <w:rFonts w:ascii="Arial Narrow" w:hAnsi="Arial Narrow"/>
          <w:sz w:val="28"/>
          <w:szCs w:val="28"/>
        </w:rPr>
        <w:t>Startup</w:t>
      </w:r>
      <w:proofErr w:type="spellEnd"/>
      <w:r w:rsidRPr="00717FDE">
        <w:rPr>
          <w:rFonts w:ascii="Arial Narrow" w:hAnsi="Arial Narrow"/>
          <w:sz w:val="28"/>
          <w:szCs w:val="28"/>
        </w:rPr>
        <w:t xml:space="preserve"> will be limited to USD 3 million or equivalent per financial year either in INR or any convertible foreign currency or a combination of both.</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All-in-cost: Shall be mutually agreed between the borrower and the lender.</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End uses: For any expenditure in connection with the business of the borrower.</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 xml:space="preserve">Conversion into equity: Conversion into equity is freely permitted subject to Regulations applicable for foreign investment in </w:t>
      </w:r>
      <w:proofErr w:type="spellStart"/>
      <w:r w:rsidRPr="00717FDE">
        <w:rPr>
          <w:rFonts w:ascii="Arial Narrow" w:hAnsi="Arial Narrow"/>
          <w:sz w:val="28"/>
          <w:szCs w:val="28"/>
        </w:rPr>
        <w:t>Startups</w:t>
      </w:r>
      <w:proofErr w:type="spellEnd"/>
      <w:r w:rsidRPr="00717FDE">
        <w:rPr>
          <w:rFonts w:ascii="Arial Narrow" w:hAnsi="Arial Narrow"/>
          <w:sz w:val="28"/>
          <w:szCs w:val="28"/>
        </w:rPr>
        <w:t>.</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lastRenderedPageBreak/>
        <w:t xml:space="preserve">Security: The choice of security to be provided to the lender is left to the borrowing entity. Security can be in the nature of movable, immovable, intangible assets (including patents, intellectual property rights), financial securities, etc. and shall comply with foreign direct investment / foreign portfolio investment / or any other norms applicable for foreign lenders / entities holding such securities. Further, issuance of corporate or personal guarantee is allowed. Guarantee issued by a non-resident(s) is allowed only if such parties qualify as lender under ECB for </w:t>
      </w:r>
      <w:proofErr w:type="spellStart"/>
      <w:r w:rsidRPr="00717FDE">
        <w:rPr>
          <w:rFonts w:ascii="Arial Narrow" w:hAnsi="Arial Narrow"/>
          <w:sz w:val="28"/>
          <w:szCs w:val="28"/>
        </w:rPr>
        <w:t>Startups</w:t>
      </w:r>
      <w:proofErr w:type="spellEnd"/>
      <w:r w:rsidRPr="00717FDE">
        <w:rPr>
          <w:rFonts w:ascii="Arial Narrow" w:hAnsi="Arial Narrow"/>
          <w:sz w:val="28"/>
          <w:szCs w:val="28"/>
        </w:rPr>
        <w:t>. However, issuance of guarantee, standby letter of credit, letter of undertaking or letter of comfort by Indian banks, all India Financial Institutions and NBFCs is not permitted.</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Hedging: The overseas lender, in case of INR denominated ECB, will be eligible to hedge its INR exposure through permitted derivative products with AD Category – I banks in India. The lender can also access the domestic market through branches/ subsidiaries of Indian banks abroad or branches of foreign bank with Indian presence on a back to back basis.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 xml:space="preserve">Note: </w:t>
      </w:r>
      <w:proofErr w:type="spellStart"/>
      <w:r w:rsidRPr="00717FDE">
        <w:rPr>
          <w:rFonts w:ascii="Arial Narrow" w:hAnsi="Arial Narrow"/>
          <w:sz w:val="28"/>
          <w:szCs w:val="28"/>
        </w:rPr>
        <w:t>Startups</w:t>
      </w:r>
      <w:proofErr w:type="spellEnd"/>
      <w:r w:rsidRPr="00717FDE">
        <w:rPr>
          <w:rFonts w:ascii="Arial Narrow" w:hAnsi="Arial Narrow"/>
          <w:sz w:val="28"/>
          <w:szCs w:val="28"/>
        </w:rPr>
        <w:t xml:space="preserve"> raising ECB in foreign currency, whether having natural hedge or not, are exposed to currency risk due to exchange rate movements and hence are advised to ensure that they have an appropriate risk management policy to manage potential risk arising out of ECB.</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Conversion rate: In case of borrowing in INR, the foreign currency - INR conversion will be at the market rate as on the date of agreement.</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Other Provisions: Other provisions like parking of ECB proceeds, reporting arrangements, powers delegated to AD banks, borrowing by entities under investigation, conversion of ECB into equity will be as included in the ECB framework. However, provisions on leverage ratio and ECB liability: Equity ratio will not be applicable. Further, the Start-ups as defined above [8.2. (</w:t>
      </w:r>
      <w:proofErr w:type="spellStart"/>
      <w:r w:rsidRPr="00717FDE">
        <w:rPr>
          <w:rFonts w:ascii="Arial Narrow" w:hAnsi="Arial Narrow"/>
          <w:sz w:val="28"/>
          <w:szCs w:val="28"/>
        </w:rPr>
        <w:t>i</w:t>
      </w:r>
      <w:proofErr w:type="spellEnd"/>
      <w:r w:rsidRPr="00717FDE">
        <w:rPr>
          <w:rFonts w:ascii="Arial Narrow" w:hAnsi="Arial Narrow"/>
          <w:sz w:val="28"/>
          <w:szCs w:val="28"/>
        </w:rPr>
        <w:t>)] as well as other start-ups which do not comply with the aforesaid definition but are eligible to receive FDI, can also raise ECB under the general ECB route/framework.</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9. Borrowing by Entities under Investigation: All entities against which investigation / adjudication / appeal by the law enforcing agencies for violation of any of the provisions of the Regulations under FEMA pending, may raise ECB as per the applicable norms, if they are otherwise eligible, notwithstanding the pending investigations / adjudications / appeals, without prejudice to the outcome of such investigations / adjudications / appeals. The borrowing entity shall inform about pendency of such investigation / adjudication / appeal to the AD Category-I bank / RBI as the case may be. Accordingly, in case of all applications where the borrowing entity has indicated about the pending investigations / adjudications / appeals, the AD Category I Banks / Reserve Bank while approving the proposal shall intimate the agencies concerned by endorsing a copy of the approval letter.</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lastRenderedPageBreak/>
        <w:t>10. ECB by entities under restructuring/ ECB facility for refinancing stressed assets: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10.1. An entity which is under a restructuring scheme/ corporate insolvency resolution process can raise ECB only if specifically permitted under the resolution plan.</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10.2. 4Eligible corporate borrowers who have availed Rupee loans domestically for capital expenditure in manufacturing and infrastructure sector and which have been classified as SMA-2 or NPA can avail ECB for repayment of these loans under any one time settlement with lenders. Lender banks are also permitted to sell, through assignment, such loans to eligible ECB lenders, provided, the resultant external commercial borrowing complies with all-in-cost, minimum average maturity period and other relevant norms of the ECB framework. Foreign branches/ overseas subsidiaries of Indian banks are not eligible to lend for the above purposes. The applicable MAMP will have to be strictly complied with under all circumstances.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10.3. Eligible borrowers under the ECB framework, who are participating in the Corporate Insolvency Resolution Process under Insolvency and Bankruptcy Code, 2016 as resolution applicants, can raise ECB from all recognised lenders, except foreign branches/subsidiaries of Indian banks, for repayment of Rupee term loans of the target company. Such ECB will be considered under the approval route, procedure of which is given at paragraph No. 5 above.</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11. Dissemination of information: For providing greater transparency, information with regard to the name of the borrower, amount, purpose and maturity of ECB under both Automatic and Approval routes are put on the RBI’s website, on a monthly basis, with a lag of one month to which it relates.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12. Compliance with the guidelines: The primary responsibility for ensuring that the borrowing is in compliance with the applicable guidelines is that of the borrower concerned. Any contravention of the applicable provisions of ECB guidelines will invite penal action under the FEMA. The designated AD Category I bank is also expected to ensure compliance with applicable ECB guidelines by their constituents.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PART II – TRADE CREDITS FRAMEWORK</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13. Introduction: Trade Credits (TC) refer to the credits extended by the overseas supplier, bank, financial institution and other permitted recognised lenders for maturity, as prescribed in this framework, for imports of capital/non-capital goods permissible under the Foreign Trade Policy of the Government of India. Depending on the source of finance, such TCs include suppliers’ credit and buyers’ credit from recognised lenders.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lastRenderedPageBreak/>
        <w:t>14. Trade Credits Framework: TC for imports into India can be raised in any freely convertible foreign currency (FCY denominated TC) or Indian Rupee (INR denominated TC), as per the framework given in the table below:</w:t>
      </w:r>
    </w:p>
    <w:p w:rsidR="00202C5D" w:rsidRDefault="00202C5D" w:rsidP="00F822D8">
      <w:pPr>
        <w:jc w:val="both"/>
        <w:rPr>
          <w:rFonts w:ascii="Arial Narrow" w:hAnsi="Arial Narrow"/>
          <w:sz w:val="28"/>
          <w:szCs w:val="28"/>
        </w:rPr>
      </w:pPr>
    </w:p>
    <w:p w:rsidR="00202C5D" w:rsidRDefault="00202C5D" w:rsidP="00F822D8">
      <w:pPr>
        <w:jc w:val="both"/>
        <w:rPr>
          <w:rFonts w:ascii="Arial Narrow" w:hAnsi="Arial Narrow"/>
          <w:sz w:val="28"/>
          <w:szCs w:val="28"/>
        </w:rPr>
      </w:pPr>
    </w:p>
    <w:p w:rsidR="00202C5D" w:rsidRDefault="00202C5D" w:rsidP="00F822D8">
      <w:pPr>
        <w:jc w:val="both"/>
        <w:rPr>
          <w:rFonts w:ascii="Arial Narrow" w:hAnsi="Arial Narrow"/>
          <w:sz w:val="28"/>
          <w:szCs w:val="28"/>
        </w:rPr>
      </w:pPr>
    </w:p>
    <w:p w:rsidR="00202C5D" w:rsidRDefault="00202C5D" w:rsidP="00F822D8">
      <w:pPr>
        <w:jc w:val="both"/>
        <w:rPr>
          <w:rFonts w:ascii="Arial Narrow" w:hAnsi="Arial Narrow"/>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6"/>
        <w:gridCol w:w="3402"/>
        <w:gridCol w:w="4682"/>
        <w:gridCol w:w="3060"/>
      </w:tblGrid>
      <w:tr w:rsidR="00202C5D" w:rsidRPr="00202C5D" w:rsidTr="00202C5D">
        <w:trPr>
          <w:trHeight w:val="321"/>
        </w:trPr>
        <w:tc>
          <w:tcPr>
            <w:tcW w:w="1096" w:type="dxa"/>
          </w:tcPr>
          <w:p w:rsidR="00202C5D" w:rsidRPr="00202C5D" w:rsidRDefault="00202C5D" w:rsidP="00F822D8">
            <w:pPr>
              <w:jc w:val="both"/>
              <w:rPr>
                <w:rFonts w:ascii="Arial Narrow" w:hAnsi="Arial Narrow"/>
                <w:sz w:val="28"/>
                <w:szCs w:val="28"/>
              </w:rPr>
            </w:pPr>
            <w:r w:rsidRPr="00202C5D">
              <w:rPr>
                <w:rFonts w:ascii="Arial Narrow" w:hAnsi="Arial Narrow"/>
                <w:b/>
                <w:bCs/>
                <w:sz w:val="28"/>
                <w:szCs w:val="28"/>
              </w:rPr>
              <w:t xml:space="preserve">Sr. No. </w:t>
            </w:r>
          </w:p>
        </w:tc>
        <w:tc>
          <w:tcPr>
            <w:tcW w:w="3402" w:type="dxa"/>
          </w:tcPr>
          <w:p w:rsidR="00202C5D" w:rsidRPr="00202C5D" w:rsidRDefault="00202C5D" w:rsidP="00F822D8">
            <w:pPr>
              <w:jc w:val="both"/>
              <w:rPr>
                <w:rFonts w:ascii="Arial Narrow" w:hAnsi="Arial Narrow"/>
                <w:sz w:val="28"/>
                <w:szCs w:val="28"/>
              </w:rPr>
            </w:pPr>
            <w:r w:rsidRPr="00202C5D">
              <w:rPr>
                <w:rFonts w:ascii="Arial Narrow" w:hAnsi="Arial Narrow"/>
                <w:b/>
                <w:bCs/>
                <w:sz w:val="28"/>
                <w:szCs w:val="28"/>
              </w:rPr>
              <w:t xml:space="preserve">Parameters </w:t>
            </w:r>
          </w:p>
        </w:tc>
        <w:tc>
          <w:tcPr>
            <w:tcW w:w="4682" w:type="dxa"/>
          </w:tcPr>
          <w:p w:rsidR="00202C5D" w:rsidRPr="00202C5D" w:rsidRDefault="00202C5D" w:rsidP="00F822D8">
            <w:pPr>
              <w:jc w:val="both"/>
              <w:rPr>
                <w:rFonts w:ascii="Arial Narrow" w:hAnsi="Arial Narrow"/>
                <w:sz w:val="28"/>
                <w:szCs w:val="28"/>
              </w:rPr>
            </w:pPr>
            <w:r w:rsidRPr="00202C5D">
              <w:rPr>
                <w:rFonts w:ascii="Arial Narrow" w:hAnsi="Arial Narrow"/>
                <w:b/>
                <w:bCs/>
                <w:sz w:val="28"/>
                <w:szCs w:val="28"/>
              </w:rPr>
              <w:t xml:space="preserve">FCY denominated TC </w:t>
            </w:r>
          </w:p>
        </w:tc>
        <w:tc>
          <w:tcPr>
            <w:tcW w:w="3060" w:type="dxa"/>
          </w:tcPr>
          <w:p w:rsidR="00202C5D" w:rsidRPr="00202C5D" w:rsidRDefault="00202C5D" w:rsidP="00F822D8">
            <w:pPr>
              <w:jc w:val="both"/>
              <w:rPr>
                <w:rFonts w:ascii="Arial Narrow" w:hAnsi="Arial Narrow"/>
                <w:sz w:val="28"/>
                <w:szCs w:val="28"/>
              </w:rPr>
            </w:pPr>
            <w:r w:rsidRPr="00202C5D">
              <w:rPr>
                <w:rFonts w:ascii="Arial Narrow" w:hAnsi="Arial Narrow"/>
                <w:b/>
                <w:bCs/>
                <w:sz w:val="28"/>
                <w:szCs w:val="28"/>
              </w:rPr>
              <w:t xml:space="preserve">INR denominated TC </w:t>
            </w:r>
          </w:p>
        </w:tc>
      </w:tr>
      <w:tr w:rsidR="00202C5D" w:rsidRPr="00202C5D" w:rsidTr="00202C5D">
        <w:trPr>
          <w:trHeight w:val="152"/>
        </w:trPr>
        <w:tc>
          <w:tcPr>
            <w:tcW w:w="1096" w:type="dxa"/>
          </w:tcPr>
          <w:p w:rsidR="00202C5D" w:rsidRPr="00202C5D" w:rsidRDefault="00202C5D" w:rsidP="00F822D8">
            <w:pPr>
              <w:jc w:val="both"/>
              <w:rPr>
                <w:rFonts w:ascii="Arial Narrow" w:hAnsi="Arial Narrow"/>
                <w:sz w:val="28"/>
                <w:szCs w:val="28"/>
              </w:rPr>
            </w:pPr>
            <w:proofErr w:type="spellStart"/>
            <w:r w:rsidRPr="00202C5D">
              <w:rPr>
                <w:rFonts w:ascii="Arial Narrow" w:hAnsi="Arial Narrow"/>
                <w:sz w:val="28"/>
                <w:szCs w:val="28"/>
              </w:rPr>
              <w:t>i</w:t>
            </w:r>
            <w:proofErr w:type="spellEnd"/>
            <w:r w:rsidRPr="00202C5D">
              <w:rPr>
                <w:rFonts w:ascii="Arial Narrow" w:hAnsi="Arial Narrow"/>
                <w:sz w:val="28"/>
                <w:szCs w:val="28"/>
              </w:rPr>
              <w:t xml:space="preserve"> </w:t>
            </w:r>
          </w:p>
        </w:tc>
        <w:tc>
          <w:tcPr>
            <w:tcW w:w="3402"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Forms of TC </w:t>
            </w:r>
          </w:p>
        </w:tc>
        <w:tc>
          <w:tcPr>
            <w:tcW w:w="7742" w:type="dxa"/>
            <w:gridSpan w:val="2"/>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Buyers’ Credit and Suppliers’ Credit. </w:t>
            </w:r>
          </w:p>
        </w:tc>
      </w:tr>
      <w:tr w:rsidR="00202C5D" w:rsidRPr="00202C5D" w:rsidTr="00202C5D">
        <w:trPr>
          <w:trHeight w:val="152"/>
        </w:trPr>
        <w:tc>
          <w:tcPr>
            <w:tcW w:w="1096"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ii </w:t>
            </w:r>
          </w:p>
        </w:tc>
        <w:tc>
          <w:tcPr>
            <w:tcW w:w="3402"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Eligible borrower </w:t>
            </w:r>
          </w:p>
        </w:tc>
        <w:tc>
          <w:tcPr>
            <w:tcW w:w="7742" w:type="dxa"/>
            <w:gridSpan w:val="2"/>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Person resident in India acting as an importer. </w:t>
            </w:r>
          </w:p>
        </w:tc>
      </w:tr>
      <w:tr w:rsidR="00202C5D" w:rsidRPr="00202C5D" w:rsidTr="00202C5D">
        <w:trPr>
          <w:trHeight w:val="657"/>
        </w:trPr>
        <w:tc>
          <w:tcPr>
            <w:tcW w:w="1096"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iii </w:t>
            </w:r>
          </w:p>
        </w:tc>
        <w:tc>
          <w:tcPr>
            <w:tcW w:w="3402"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Amount under automatic route </w:t>
            </w:r>
          </w:p>
        </w:tc>
        <w:tc>
          <w:tcPr>
            <w:tcW w:w="7742" w:type="dxa"/>
            <w:gridSpan w:val="2"/>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Up to USD 150 million or equivalent per import transaction for oil/gas refining &amp; marketing, airline and shipping companies. For others, up to USD 50 million or equivalent per import transaction. </w:t>
            </w:r>
          </w:p>
        </w:tc>
      </w:tr>
      <w:tr w:rsidR="00202C5D" w:rsidRPr="00202C5D" w:rsidTr="00202C5D">
        <w:trPr>
          <w:trHeight w:val="1669"/>
        </w:trPr>
        <w:tc>
          <w:tcPr>
            <w:tcW w:w="1096"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iv </w:t>
            </w:r>
          </w:p>
        </w:tc>
        <w:tc>
          <w:tcPr>
            <w:tcW w:w="3402"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Recognised lenders </w:t>
            </w:r>
          </w:p>
        </w:tc>
        <w:tc>
          <w:tcPr>
            <w:tcW w:w="7742" w:type="dxa"/>
            <w:gridSpan w:val="2"/>
          </w:tcPr>
          <w:p w:rsidR="00202C5D" w:rsidRPr="00202C5D" w:rsidRDefault="00202C5D" w:rsidP="00F822D8">
            <w:pPr>
              <w:jc w:val="both"/>
              <w:rPr>
                <w:rFonts w:ascii="Arial Narrow" w:hAnsi="Arial Narrow"/>
                <w:sz w:val="28"/>
                <w:szCs w:val="28"/>
              </w:rPr>
            </w:pPr>
            <w:r w:rsidRPr="00202C5D">
              <w:rPr>
                <w:rFonts w:ascii="Arial Narrow" w:hAnsi="Arial Narrow"/>
                <w:b/>
                <w:bCs/>
                <w:sz w:val="28"/>
                <w:szCs w:val="28"/>
              </w:rPr>
              <w:t xml:space="preserve">1. For suppliers’ credit: </w:t>
            </w:r>
            <w:r w:rsidRPr="00202C5D">
              <w:rPr>
                <w:rFonts w:ascii="Arial Narrow" w:hAnsi="Arial Narrow"/>
                <w:sz w:val="28"/>
                <w:szCs w:val="28"/>
              </w:rPr>
              <w:t xml:space="preserve">Supplier of goods located outside India. </w:t>
            </w:r>
          </w:p>
          <w:p w:rsidR="00202C5D" w:rsidRPr="00202C5D" w:rsidRDefault="00202C5D" w:rsidP="00F822D8">
            <w:pPr>
              <w:jc w:val="both"/>
              <w:rPr>
                <w:rFonts w:ascii="Arial Narrow" w:hAnsi="Arial Narrow"/>
                <w:sz w:val="28"/>
                <w:szCs w:val="28"/>
              </w:rPr>
            </w:pPr>
            <w:r w:rsidRPr="00202C5D">
              <w:rPr>
                <w:rFonts w:ascii="Arial Narrow" w:hAnsi="Arial Narrow"/>
                <w:b/>
                <w:bCs/>
                <w:sz w:val="28"/>
                <w:szCs w:val="28"/>
              </w:rPr>
              <w:t xml:space="preserve">2. For buyers’ credit: </w:t>
            </w:r>
            <w:r w:rsidRPr="00202C5D">
              <w:rPr>
                <w:rFonts w:ascii="Arial Narrow" w:hAnsi="Arial Narrow"/>
                <w:sz w:val="28"/>
                <w:szCs w:val="28"/>
              </w:rPr>
              <w:t xml:space="preserve">Banks, financial institutions, foreign equity holder(s) located outside India and financial institutions in IFSCs located in India. </w:t>
            </w:r>
          </w:p>
          <w:p w:rsidR="00202C5D" w:rsidRPr="00202C5D" w:rsidRDefault="00202C5D" w:rsidP="00F822D8">
            <w:pPr>
              <w:jc w:val="both"/>
              <w:rPr>
                <w:rFonts w:ascii="Arial Narrow" w:hAnsi="Arial Narrow"/>
                <w:sz w:val="28"/>
                <w:szCs w:val="28"/>
              </w:rPr>
            </w:pPr>
            <w:r w:rsidRPr="00202C5D">
              <w:rPr>
                <w:rFonts w:ascii="Arial Narrow" w:hAnsi="Arial Narrow"/>
                <w:b/>
                <w:bCs/>
                <w:sz w:val="28"/>
                <w:szCs w:val="28"/>
              </w:rPr>
              <w:t xml:space="preserve">Note: </w:t>
            </w:r>
            <w:r w:rsidRPr="00202C5D">
              <w:rPr>
                <w:rFonts w:ascii="Arial Narrow" w:hAnsi="Arial Narrow"/>
                <w:sz w:val="28"/>
                <w:szCs w:val="28"/>
              </w:rPr>
              <w:t xml:space="preserve">Participation of Indian banks and non-banking financial companies (operating from IFSCs) as lenders will be subject to the prudential guidelines issued by the concerned regulatory departments of the Reserve Bank. Further, foreign branches/subsidiaries of Indian banks are permitted as recognised lenders only for FCY TC. </w:t>
            </w:r>
          </w:p>
        </w:tc>
      </w:tr>
      <w:tr w:rsidR="00202C5D" w:rsidRPr="00202C5D" w:rsidTr="00202C5D">
        <w:trPr>
          <w:trHeight w:val="826"/>
        </w:trPr>
        <w:tc>
          <w:tcPr>
            <w:tcW w:w="1096"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lastRenderedPageBreak/>
              <w:t xml:space="preserve">v </w:t>
            </w:r>
          </w:p>
        </w:tc>
        <w:tc>
          <w:tcPr>
            <w:tcW w:w="3402"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Period of TC </w:t>
            </w:r>
          </w:p>
        </w:tc>
        <w:tc>
          <w:tcPr>
            <w:tcW w:w="7742" w:type="dxa"/>
            <w:gridSpan w:val="2"/>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The period of TC, reckoned from the date of shipment, shall be up to three years for import of capital goods. For non-capital goods, this period shall be up to one year or the operating cycle whichever is less. For shipyards / shipbuilders, the period of TC for import of non-capital goods can be up to three years. </w:t>
            </w:r>
          </w:p>
        </w:tc>
      </w:tr>
      <w:tr w:rsidR="00202C5D" w:rsidRPr="00202C5D" w:rsidTr="00202C5D">
        <w:trPr>
          <w:trHeight w:val="321"/>
        </w:trPr>
        <w:tc>
          <w:tcPr>
            <w:tcW w:w="1096"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vi </w:t>
            </w:r>
          </w:p>
        </w:tc>
        <w:tc>
          <w:tcPr>
            <w:tcW w:w="3402"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All-in-cost ceiling per annum </w:t>
            </w:r>
          </w:p>
        </w:tc>
        <w:tc>
          <w:tcPr>
            <w:tcW w:w="7742" w:type="dxa"/>
            <w:gridSpan w:val="2"/>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Benchmark rate plus 250 bps spread. </w:t>
            </w:r>
          </w:p>
        </w:tc>
      </w:tr>
      <w:tr w:rsidR="00202C5D" w:rsidRPr="00202C5D" w:rsidTr="00202C5D">
        <w:trPr>
          <w:trHeight w:val="994"/>
        </w:trPr>
        <w:tc>
          <w:tcPr>
            <w:tcW w:w="1096"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vii </w:t>
            </w:r>
          </w:p>
        </w:tc>
        <w:tc>
          <w:tcPr>
            <w:tcW w:w="3402"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Exchange rate </w:t>
            </w:r>
          </w:p>
        </w:tc>
        <w:tc>
          <w:tcPr>
            <w:tcW w:w="4682"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Change of currency of FCY TC into INR TC can be at the exchange rate prevailing on the date of the agreement between the parties concerned for such change or at an exchange rate, which is less than the rate prevailing on the date of agreement, if consented to by the TC lender.</w:t>
            </w:r>
          </w:p>
        </w:tc>
        <w:tc>
          <w:tcPr>
            <w:tcW w:w="3060" w:type="dxa"/>
          </w:tcPr>
          <w:p w:rsidR="00202C5D" w:rsidRPr="00202C5D" w:rsidRDefault="00202C5D" w:rsidP="00F822D8">
            <w:pPr>
              <w:jc w:val="both"/>
              <w:rPr>
                <w:rFonts w:ascii="Arial Narrow" w:hAnsi="Arial Narrow"/>
                <w:sz w:val="28"/>
                <w:szCs w:val="28"/>
              </w:rPr>
            </w:pPr>
            <w:r w:rsidRPr="00202C5D">
              <w:rPr>
                <w:rFonts w:ascii="Arial Narrow" w:hAnsi="Arial Narrow"/>
                <w:sz w:val="28"/>
                <w:szCs w:val="28"/>
              </w:rPr>
              <w:t xml:space="preserve">For conversion to Rupee, exchange rate shall be the rate prevailing on the date of settlement. </w:t>
            </w:r>
          </w:p>
        </w:tc>
      </w:tr>
      <w:tr w:rsidR="00202C5D" w:rsidTr="009140C0">
        <w:trPr>
          <w:trHeight w:val="841"/>
        </w:trPr>
        <w:tc>
          <w:tcPr>
            <w:tcW w:w="1096" w:type="dxa"/>
          </w:tcPr>
          <w:p w:rsidR="00202C5D" w:rsidRPr="002242C4" w:rsidRDefault="00202C5D" w:rsidP="00F822D8">
            <w:pPr>
              <w:pStyle w:val="Default"/>
              <w:rPr>
                <w:sz w:val="28"/>
                <w:szCs w:val="23"/>
              </w:rPr>
            </w:pPr>
            <w:r w:rsidRPr="002242C4">
              <w:rPr>
                <w:sz w:val="28"/>
                <w:szCs w:val="23"/>
              </w:rPr>
              <w:t xml:space="preserve">viii </w:t>
            </w:r>
          </w:p>
        </w:tc>
        <w:tc>
          <w:tcPr>
            <w:tcW w:w="3402" w:type="dxa"/>
          </w:tcPr>
          <w:p w:rsidR="00202C5D" w:rsidRPr="002242C4" w:rsidRDefault="00202C5D" w:rsidP="00F822D8">
            <w:pPr>
              <w:pStyle w:val="Default"/>
              <w:rPr>
                <w:sz w:val="28"/>
                <w:szCs w:val="23"/>
              </w:rPr>
            </w:pPr>
            <w:r w:rsidRPr="002242C4">
              <w:rPr>
                <w:sz w:val="28"/>
                <w:szCs w:val="23"/>
              </w:rPr>
              <w:t xml:space="preserve">Hedging provision </w:t>
            </w:r>
          </w:p>
        </w:tc>
        <w:tc>
          <w:tcPr>
            <w:tcW w:w="4682" w:type="dxa"/>
          </w:tcPr>
          <w:p w:rsidR="00202C5D" w:rsidRPr="002242C4" w:rsidRDefault="00202C5D" w:rsidP="00F822D8">
            <w:pPr>
              <w:pStyle w:val="Default"/>
              <w:rPr>
                <w:sz w:val="28"/>
                <w:szCs w:val="23"/>
              </w:rPr>
            </w:pPr>
            <w:r w:rsidRPr="002242C4">
              <w:rPr>
                <w:sz w:val="28"/>
                <w:szCs w:val="23"/>
              </w:rPr>
              <w:t xml:space="preserve">The entities raising TC are required to follow the guidelines for hedging, if any, issued by the concerned sectoral or prudential regulator in respect of foreign currency exposure. Such entities shall have a board approved risk management policy. </w:t>
            </w:r>
          </w:p>
        </w:tc>
        <w:tc>
          <w:tcPr>
            <w:tcW w:w="3060" w:type="dxa"/>
          </w:tcPr>
          <w:p w:rsidR="00202C5D" w:rsidRPr="002242C4" w:rsidRDefault="00202C5D" w:rsidP="00F822D8">
            <w:pPr>
              <w:pStyle w:val="Default"/>
              <w:rPr>
                <w:sz w:val="28"/>
                <w:szCs w:val="23"/>
              </w:rPr>
            </w:pPr>
            <w:r w:rsidRPr="002242C4">
              <w:rPr>
                <w:sz w:val="28"/>
                <w:szCs w:val="23"/>
              </w:rPr>
              <w:t xml:space="preserve">The overseas investors are eligible to hedge their exposure in Rupee through permitted derivative products with AD Category I banks in India. The investors can also access the domestic market through branches / subsidiaries of Indian banks abroad or branches of foreign banks with Indian presence on a back to </w:t>
            </w:r>
            <w:r w:rsidRPr="002242C4">
              <w:rPr>
                <w:sz w:val="28"/>
                <w:szCs w:val="23"/>
              </w:rPr>
              <w:lastRenderedPageBreak/>
              <w:t xml:space="preserve">back basis. </w:t>
            </w:r>
          </w:p>
        </w:tc>
      </w:tr>
      <w:tr w:rsidR="00202C5D" w:rsidTr="002242C4">
        <w:trPr>
          <w:trHeight w:val="1975"/>
        </w:trPr>
        <w:tc>
          <w:tcPr>
            <w:tcW w:w="1096" w:type="dxa"/>
            <w:tcBorders>
              <w:top w:val="single" w:sz="4" w:space="0" w:color="auto"/>
              <w:left w:val="single" w:sz="4" w:space="0" w:color="auto"/>
              <w:bottom w:val="single" w:sz="4" w:space="0" w:color="auto"/>
              <w:right w:val="single" w:sz="4" w:space="0" w:color="auto"/>
            </w:tcBorders>
          </w:tcPr>
          <w:p w:rsidR="00202C5D" w:rsidRPr="002242C4" w:rsidRDefault="00202C5D" w:rsidP="00F822D8">
            <w:pPr>
              <w:pStyle w:val="Default"/>
              <w:rPr>
                <w:sz w:val="28"/>
                <w:szCs w:val="23"/>
              </w:rPr>
            </w:pPr>
            <w:r w:rsidRPr="002242C4">
              <w:rPr>
                <w:sz w:val="28"/>
                <w:szCs w:val="23"/>
              </w:rPr>
              <w:lastRenderedPageBreak/>
              <w:t xml:space="preserve">ix </w:t>
            </w:r>
          </w:p>
        </w:tc>
        <w:tc>
          <w:tcPr>
            <w:tcW w:w="3402" w:type="dxa"/>
            <w:tcBorders>
              <w:top w:val="single" w:sz="4" w:space="0" w:color="auto"/>
              <w:left w:val="single" w:sz="4" w:space="0" w:color="auto"/>
              <w:bottom w:val="single" w:sz="4" w:space="0" w:color="auto"/>
              <w:right w:val="single" w:sz="4" w:space="0" w:color="auto"/>
            </w:tcBorders>
          </w:tcPr>
          <w:p w:rsidR="00202C5D" w:rsidRPr="002242C4" w:rsidRDefault="00202C5D" w:rsidP="00F822D8">
            <w:pPr>
              <w:pStyle w:val="Default"/>
              <w:rPr>
                <w:sz w:val="28"/>
                <w:szCs w:val="23"/>
              </w:rPr>
            </w:pPr>
            <w:r w:rsidRPr="002242C4">
              <w:rPr>
                <w:sz w:val="28"/>
                <w:szCs w:val="23"/>
              </w:rPr>
              <w:t xml:space="preserve">Change of currency of borrowing </w:t>
            </w:r>
          </w:p>
        </w:tc>
        <w:tc>
          <w:tcPr>
            <w:tcW w:w="4682" w:type="dxa"/>
            <w:tcBorders>
              <w:top w:val="single" w:sz="4" w:space="0" w:color="auto"/>
              <w:left w:val="single" w:sz="4" w:space="0" w:color="auto"/>
              <w:bottom w:val="single" w:sz="4" w:space="0" w:color="auto"/>
              <w:right w:val="single" w:sz="4" w:space="0" w:color="auto"/>
            </w:tcBorders>
          </w:tcPr>
          <w:p w:rsidR="00202C5D" w:rsidRPr="002242C4" w:rsidRDefault="00202C5D" w:rsidP="00F822D8">
            <w:pPr>
              <w:pStyle w:val="Default"/>
              <w:rPr>
                <w:sz w:val="28"/>
                <w:szCs w:val="23"/>
              </w:rPr>
            </w:pPr>
            <w:r w:rsidRPr="002242C4">
              <w:rPr>
                <w:sz w:val="28"/>
                <w:szCs w:val="23"/>
              </w:rPr>
              <w:t xml:space="preserve">Change of currency of TC from one freely convertible foreign currency to any other freely convertible foreign currency as well as to INR is freely permitted. </w:t>
            </w:r>
          </w:p>
        </w:tc>
        <w:tc>
          <w:tcPr>
            <w:tcW w:w="3060" w:type="dxa"/>
            <w:tcBorders>
              <w:top w:val="single" w:sz="4" w:space="0" w:color="auto"/>
              <w:left w:val="single" w:sz="4" w:space="0" w:color="auto"/>
              <w:bottom w:val="single" w:sz="4" w:space="0" w:color="auto"/>
              <w:right w:val="single" w:sz="4" w:space="0" w:color="auto"/>
            </w:tcBorders>
          </w:tcPr>
          <w:p w:rsidR="00202C5D" w:rsidRPr="002242C4" w:rsidRDefault="00202C5D" w:rsidP="00F822D8">
            <w:pPr>
              <w:pStyle w:val="Default"/>
              <w:rPr>
                <w:sz w:val="28"/>
                <w:szCs w:val="23"/>
              </w:rPr>
            </w:pPr>
            <w:r w:rsidRPr="002242C4">
              <w:rPr>
                <w:sz w:val="28"/>
                <w:szCs w:val="23"/>
              </w:rPr>
              <w:t xml:space="preserve">Change of currency from INR to any freely convertible foreign currency is not permitted. </w:t>
            </w:r>
          </w:p>
        </w:tc>
      </w:tr>
    </w:tbl>
    <w:p w:rsidR="00202C5D" w:rsidRDefault="00202C5D" w:rsidP="00F822D8">
      <w:pPr>
        <w:jc w:val="both"/>
        <w:rPr>
          <w:rFonts w:ascii="Arial Narrow" w:hAnsi="Arial Narrow"/>
          <w:sz w:val="28"/>
          <w:szCs w:val="28"/>
        </w:rPr>
      </w:pP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15. Trade Credits in SEZ/FTWZ/DTA:</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15.1. TC can be raised by a unit or a developer in a SEZ including FTWZ for purchase of non-capital and capital goods within an SEZ including FTWZ or from a different SEZ including FTWZ subject to compliance with parameters given at paragraph 14 above. Further, an entity in DTA is also allowed to raise TC for purchase of capital / non-capital goods from a unit or a developer of a SEZ including FTWZ.</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15.2. TC transactions in respect of SEZs and DTAs as permitted above should also be in compliance with applicable provisions of SEZ Act, 2005 as amended from time to time. For TC transactions related to SEZ, date of transfer of ownership of goods will be treated as TC date. As there will be no bill of entry for sale transactions within SEZ, the inter unit receipt generated through NSDL can be treated as an import document.</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16. Security for Trade Credit: The provisions regarding security for raising TC are as under:</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16.1. Bank guarantees may be given by the ADs, on behalf of the importer, in favour of overseas lender of TC not exceeding the amount of TC. Period of such guarantee cannot be beyond the maximum permissible period for TC. TC may also be secured by overseas guarantee issued by foreign banks/overseas branches of Indian banks. Issuance of such guarantees i.e. guarantees by Indian banks and their branches/subsidiaries located outside India will be subject to compliance with the provisions contained in Department of Banking Regulation Master Circular No.DBR.No.Dir.BC.11/13.03.00/2015-16 dated July 1, 2015 on “Guarantees and Co-acceptances”, as amended from time to time.</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lastRenderedPageBreak/>
        <w:t>16.2. For the purpose of raising TC, the importer may also offer security of movable assets (including financial assets) / immovable assets (excluding land in SEZs) / corporate or personal guarantee for raising trade credit. ADs may permit creation of charge on security offered / accept corporate or personal guarantee, duly ensuring that:</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there exists a security clause in the loan agreement requiring the importer to create charge, in favour of overseas lender / security trustee on immovable assets / movable assets / financial securities / issuance of corporate and / or personal guarantee;</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 xml:space="preserve">No objection certificate, wherever necessary, from the existing lenders in India has been </w:t>
      </w:r>
      <w:proofErr w:type="spellStart"/>
      <w:r w:rsidRPr="00717FDE">
        <w:rPr>
          <w:rFonts w:ascii="Arial Narrow" w:hAnsi="Arial Narrow"/>
          <w:sz w:val="28"/>
          <w:szCs w:val="28"/>
        </w:rPr>
        <w:t>obtained</w:t>
      </w:r>
      <w:proofErr w:type="gramStart"/>
      <w:r w:rsidRPr="00717FDE">
        <w:rPr>
          <w:rFonts w:ascii="Arial Narrow" w:hAnsi="Arial Narrow"/>
          <w:sz w:val="28"/>
          <w:szCs w:val="28"/>
        </w:rPr>
        <w:t>;such</w:t>
      </w:r>
      <w:proofErr w:type="spellEnd"/>
      <w:proofErr w:type="gramEnd"/>
      <w:r w:rsidRPr="00717FDE">
        <w:rPr>
          <w:rFonts w:ascii="Arial Narrow" w:hAnsi="Arial Narrow"/>
          <w:sz w:val="28"/>
          <w:szCs w:val="28"/>
        </w:rPr>
        <w:t xml:space="preserve"> arrangement is co-terminus with underlying TC;</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In case of invocation, the total payments towards guarantee should not exceed the dues towards trade credit; and</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Creation/ enforcement / invocation of charge shall be as per the provisions contained in Foreign Exchange Management (Acquisition and Transfer of Immovable Property in India) Regulations, 2018 and Foreign Exchange Management (Transfer or Issue of Security by a Person Resident Outside India) Regulations, 2017, as amended from time to time, or any other relative Regulations framed under the Foreign Exchange Management Act, 1999 and should also comply with applicable FDI/FII/SEZ policy/ rules/ guidelines.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Note: The directions on issuance of corporate or personal guarantee mentioned under this provision shall come into force from the date of publication, in the Official Gazette, of the relative Regulations issued under FEMA.</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17. Reporting requirements: TC transactions are subject to the following reporting requirements: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 xml:space="preserve">17.1. Monthly reporting: AD Category I banks are required to furnish details of TCs like </w:t>
      </w:r>
      <w:proofErr w:type="spellStart"/>
      <w:r w:rsidRPr="00717FDE">
        <w:rPr>
          <w:rFonts w:ascii="Arial Narrow" w:hAnsi="Arial Narrow"/>
          <w:sz w:val="28"/>
          <w:szCs w:val="28"/>
        </w:rPr>
        <w:t>drawal</w:t>
      </w:r>
      <w:proofErr w:type="spellEnd"/>
      <w:r w:rsidRPr="00717FDE">
        <w:rPr>
          <w:rFonts w:ascii="Arial Narrow" w:hAnsi="Arial Narrow"/>
          <w:sz w:val="28"/>
          <w:szCs w:val="28"/>
        </w:rPr>
        <w:t>, utilisation, and repayment of TC approved by all its branches, in a consolidated statement, during a month, in Form TC to the Director, Division of International Trade and Finance, Department of Economic Policy and Research, RBI, Central Office, Fort, Mumbai – 400 001 (and in MS-Excel file through email) so as to reach not later than 10th of the following month. Each TC may be given a unique identification number by the AD bank. Format of Form TC is available at Annex IV of Part V of Master Directions – Reporting under Foreign Exchange Management Act dated January 1, 2016, as amended from time to time.</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 xml:space="preserve">Note: Suppliers’ credit beyond 180 days and up to one year/three years from the date of shipment for non-capital/capital goods respectively, should also be reported by the AD banks. Further, permissions granted by the AD banks/Regional offices of Reserve Bank for settlement of delayed import dues in terms of paragraphs B.5 and C.2 of the Master Direction on Import of Goods and </w:t>
      </w:r>
      <w:r w:rsidRPr="00717FDE">
        <w:rPr>
          <w:rFonts w:ascii="Arial Narrow" w:hAnsi="Arial Narrow"/>
          <w:sz w:val="28"/>
          <w:szCs w:val="28"/>
        </w:rPr>
        <w:lastRenderedPageBreak/>
        <w:t>Services dated January 1, 2016, as amended from time to time, should also be reported by the AD banks as per the aforesaid procedure.</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17.2. Quarterly reporting: AD Category I banks are also required to furnish data on issuance of bank guarantees for TCs by all its branches, in a consolidated statement, at quarterly intervals on the XBRL platform. For the above purpose AD banks may login to the site https://secweb.rbi.org.in/orfsxbrl/ using their User name, Password and Bank code. For downloading the relevant form, AD banks may follow the link ‘Download Returns Package’ and download the form. After following the successive steps, AD banks may upload the file. For User name and Password, AD banks may write at fedcoecbd@rbi.org.in along with contact details. Clarification required, if any, may also be sent to the aforesaid email of the Reserve Bank and/ or may be communicated at Telephone No. 022-22601000 (extension- 2715). Guide for using XBRL website is also available under the Help option on the same page. Format of this statement is also available at Annex V of Part V of Master Directions – Reporting under Foreign Exchange Management Act dated January 1, 2016, as amended from time to time.</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18. Role of ADs: While the primarily responsibility of ensuring adherence to the TC policy lies with the importer, the ADs are also expected to ensure compliance with applicable parameters of the trade credit policy / provisions of Foreign Exchange Management Act, 1999 by their constituents. As the Reserve Bank has not prescribed any format or manner in which TC arrangements / loan agreements are to be documented, ADs may consider any document to satisfy themselves with the underlying TC arrangement. ADs should ensure that there is no double financing on account of these transactions between a unit or a developer in a SEZ including FTWZ for purchase of non-capital and capital goods within an SEZ including FTWZ or from a different SEZ including FTWZ. ADs should also ensure that for import of non-capital goods, the period of TC, as applicable, is lower of operating cycle or one year (three years for shipyards / shipbuilders).</w:t>
      </w:r>
    </w:p>
    <w:p w:rsidR="00717FDE" w:rsidRPr="00717FDE" w:rsidRDefault="00717FDE" w:rsidP="00F822D8">
      <w:pPr>
        <w:jc w:val="both"/>
        <w:rPr>
          <w:rFonts w:ascii="Arial Narrow" w:hAnsi="Arial Narrow"/>
          <w:sz w:val="28"/>
          <w:szCs w:val="28"/>
        </w:rPr>
      </w:pP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PART III – STRUCTURED OBLIGATIONS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 xml:space="preserve">19. Non-resident guarantee for domestic fund based and non-fund based facilities: Borrowing and lending in Indian Rupees between two residents does not attract any provisions of the Foreign Exchange Management Act, 1999. In cases where a Rupee facility which is either fund based or non-fund based (such as letter of credit / guarantee / letter of undertaking / letter of comfort) or is in the form of derivative contract by residents that are subsidiaries of multinational companies, is guaranteed by a non-resident (non-resident group entity in case of derivative contracts), there is no transaction involving foreign exchange until the guarantee is </w:t>
      </w:r>
      <w:r w:rsidRPr="00717FDE">
        <w:rPr>
          <w:rFonts w:ascii="Arial Narrow" w:hAnsi="Arial Narrow"/>
          <w:sz w:val="28"/>
          <w:szCs w:val="28"/>
        </w:rPr>
        <w:lastRenderedPageBreak/>
        <w:t>invoked and the non-resident guarantor is required to meet the liability under the guarantee. The arrangements shall be with the following terms: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 xml:space="preserve">The non-resident guarantor may discharge the liability by </w:t>
      </w:r>
      <w:proofErr w:type="spellStart"/>
      <w:r w:rsidRPr="00717FDE">
        <w:rPr>
          <w:rFonts w:ascii="Arial Narrow" w:hAnsi="Arial Narrow"/>
          <w:sz w:val="28"/>
          <w:szCs w:val="28"/>
        </w:rPr>
        <w:t>i</w:t>
      </w:r>
      <w:proofErr w:type="spellEnd"/>
      <w:r w:rsidRPr="00717FDE">
        <w:rPr>
          <w:rFonts w:ascii="Arial Narrow" w:hAnsi="Arial Narrow"/>
          <w:sz w:val="28"/>
          <w:szCs w:val="28"/>
        </w:rPr>
        <w:t>) payment out of rupee balances held in India or ii) by remitting the funds to India or iii) by debit to his FCNR(B)/NRE account maintained with an AD bank in India.</w:t>
      </w:r>
    </w:p>
    <w:p w:rsidR="00717FDE" w:rsidRPr="00717FDE" w:rsidRDefault="00717FDE" w:rsidP="00F822D8">
      <w:pPr>
        <w:jc w:val="both"/>
        <w:rPr>
          <w:rFonts w:ascii="Arial Narrow" w:hAnsi="Arial Narrow"/>
          <w:sz w:val="28"/>
          <w:szCs w:val="28"/>
        </w:rPr>
      </w:pP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In such cases, the non-resident guarantor may enforce his claim against the resident borrower to recover the amount and on recovery he may seek repatriation of the amount if the liability is discharged either by inward remittance or by debit to FCNR(B)/NRE account. However, in case the liability is discharged by payment out of Rupee balances, the amount recovered can be credited to the NRO account of the non-resident guarantor.</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General Permission is available to a resident, being a principal debtor to make payment to a person resident outside India, who has met the liability under a guarantee.</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In cases where the liability is met by the non-resident out of funds remitted to India or by debit to his FCNR(B)/NRE account, the repayment may be made by credit to the FCNR(B)/NRE/NRO account of the guarantor provided, the amount remitted/credited shall not exceed the rupee equivalent of the amount paid by the non-resident guarantor against the invoked guarantee.</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AD Category I banks are required to furnish at quarterly interval details of guarantees availed of/ invoked, by all its branches, in a format specified by RBI (Annex I of Part X of Master Directions – Reporting under Foreign Exchange Management Act dated January 1, 2016, as amended from time to time), to the Chief General Manager-in-Charge, Foreign Exchange Department, External Commercial Borrowings Division, Reserve Bank of India, Central Office Building, 11th floor, Fort, Mumbai – 400 001 so as to reach the Department not later than 10th day of the month following quarter to which the data pertain to.</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20. Facility of Credit Enhancement: The facility of credit enhancement by eligible non-resident entities (viz. Multilateral financial institutions (such as, IFC, ADB, etc.) / regional financial institutions and Government owned (either wholly or partially) financial institutions, direct/ indirect equity holder) to domestic debt raised through issue of capital market instruments, such as Rupee denominated bonds and debentures, is available to all borrowers eligible to raise ECB under automatic route subject to the following conditions: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The underlying debt instrument should have a minimum average maturity of three years;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lastRenderedPageBreak/>
        <w:t>Prepayment and call/ put options are not permissible for such capital market instruments up to an average maturity period of 3 years;</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Guarantee fee and other costs in connection with credit enhancement will be restricted to a maximum 2 per cent of the principal amount involved;</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On invocation of the credit enhancement, if the guarantor meets the liability and if the same is permissible to be repaid in foreign currency to the eligible non-resident entity, the all-in-cost ceilings, as applicable to the relevant maturity period of the TC/ECB, as per the extant guidelines, is applicable to the novated loan.</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In case of default and if the loan is serviced in Indian Rupees, the applicable rate of interest would be the coupon of the bonds or 250 bps over the prevailing secondary market yield of 5 years Government of India Security, as on the date of novation, whichever is higher;</w:t>
      </w:r>
    </w:p>
    <w:p w:rsidR="00717FDE" w:rsidRPr="00717FDE" w:rsidRDefault="00717FDE" w:rsidP="00F822D8">
      <w:pPr>
        <w:jc w:val="both"/>
        <w:rPr>
          <w:rFonts w:ascii="Arial Narrow" w:hAnsi="Arial Narrow"/>
          <w:sz w:val="28"/>
          <w:szCs w:val="28"/>
        </w:rPr>
      </w:pPr>
      <w:r w:rsidRPr="00717FDE">
        <w:rPr>
          <w:rFonts w:ascii="Arial Narrow" w:hAnsi="Arial Narrow"/>
          <w:sz w:val="28"/>
          <w:szCs w:val="28"/>
        </w:rPr>
        <w:t>NBFC-IFC proposing to avail of the credit enhancement facility should comply with the eligibility criteria and prudential norms laid down in the circular DNBS.PD.CC No.168/03.02.089/2009-10 dated February 12, 2010 and in case the novated loan is designated in foreign currency, the IFC should hedge the entire foreign currency exposure; and</w:t>
      </w:r>
    </w:p>
    <w:p w:rsidR="00F256C8" w:rsidRPr="00AF0201" w:rsidRDefault="00717FDE" w:rsidP="00F822D8">
      <w:pPr>
        <w:jc w:val="both"/>
        <w:rPr>
          <w:rFonts w:ascii="Arial Narrow" w:hAnsi="Arial Narrow"/>
          <w:sz w:val="28"/>
          <w:szCs w:val="28"/>
        </w:rPr>
      </w:pPr>
      <w:r w:rsidRPr="00717FDE">
        <w:rPr>
          <w:rFonts w:ascii="Arial Narrow" w:hAnsi="Arial Narrow"/>
          <w:sz w:val="28"/>
          <w:szCs w:val="28"/>
        </w:rPr>
        <w:t>The reporting arrangements as applicable to the ECB would be applicable to the novated loans.</w:t>
      </w:r>
    </w:p>
    <w:sectPr w:rsidR="00F256C8" w:rsidRPr="00AF0201" w:rsidSect="00F822D8">
      <w:pgSz w:w="16838" w:h="11907" w:orient="landscape"/>
      <w:pgMar w:top="567" w:right="1440" w:bottom="454" w:left="204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971" w:rsidRDefault="006C7971" w:rsidP="00D35A7F">
      <w:pPr>
        <w:spacing w:after="0" w:line="240" w:lineRule="auto"/>
      </w:pPr>
      <w:r>
        <w:separator/>
      </w:r>
    </w:p>
  </w:endnote>
  <w:endnote w:type="continuationSeparator" w:id="0">
    <w:p w:rsidR="006C7971" w:rsidRDefault="006C7971" w:rsidP="00D35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707722"/>
      <w:docPartObj>
        <w:docPartGallery w:val="Page Numbers (Bottom of Page)"/>
        <w:docPartUnique/>
      </w:docPartObj>
    </w:sdtPr>
    <w:sdtEndPr>
      <w:rPr>
        <w:noProof/>
      </w:rPr>
    </w:sdtEndPr>
    <w:sdtContent>
      <w:p w:rsidR="00D35A7F" w:rsidRDefault="00D03EB3">
        <w:pPr>
          <w:pStyle w:val="Footer"/>
          <w:jc w:val="center"/>
        </w:pPr>
        <w:r>
          <w:fldChar w:fldCharType="begin"/>
        </w:r>
        <w:r w:rsidR="00D35A7F">
          <w:instrText xml:space="preserve"> PAGE   \* MERGEFORMAT </w:instrText>
        </w:r>
        <w:r>
          <w:fldChar w:fldCharType="separate"/>
        </w:r>
        <w:r w:rsidR="00C13A3E">
          <w:rPr>
            <w:noProof/>
          </w:rPr>
          <w:t>1</w:t>
        </w:r>
        <w:r>
          <w:rPr>
            <w:noProof/>
          </w:rPr>
          <w:fldChar w:fldCharType="end"/>
        </w:r>
      </w:p>
    </w:sdtContent>
  </w:sdt>
  <w:p w:rsidR="00D35A7F" w:rsidRDefault="00D35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971" w:rsidRDefault="006C7971" w:rsidP="00D35A7F">
      <w:pPr>
        <w:spacing w:after="0" w:line="240" w:lineRule="auto"/>
      </w:pPr>
      <w:r>
        <w:separator/>
      </w:r>
    </w:p>
  </w:footnote>
  <w:footnote w:type="continuationSeparator" w:id="0">
    <w:p w:rsidR="006C7971" w:rsidRDefault="006C7971" w:rsidP="00D35A7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39FA"/>
    <w:rsid w:val="001C76D9"/>
    <w:rsid w:val="00202C5D"/>
    <w:rsid w:val="002242C4"/>
    <w:rsid w:val="002B1958"/>
    <w:rsid w:val="003D7B9A"/>
    <w:rsid w:val="003F7ADC"/>
    <w:rsid w:val="005F1BAE"/>
    <w:rsid w:val="00682C05"/>
    <w:rsid w:val="006C7971"/>
    <w:rsid w:val="00717FDE"/>
    <w:rsid w:val="009140C0"/>
    <w:rsid w:val="00AF0201"/>
    <w:rsid w:val="00B64BF4"/>
    <w:rsid w:val="00C13A3E"/>
    <w:rsid w:val="00D03EB3"/>
    <w:rsid w:val="00D261F0"/>
    <w:rsid w:val="00D35A7F"/>
    <w:rsid w:val="00D372CC"/>
    <w:rsid w:val="00EA39FA"/>
    <w:rsid w:val="00F256C8"/>
    <w:rsid w:val="00F6501B"/>
    <w:rsid w:val="00F822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01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256C8"/>
    <w:pPr>
      <w:ind w:left="720"/>
      <w:contextualSpacing/>
    </w:pPr>
  </w:style>
  <w:style w:type="paragraph" w:styleId="Header">
    <w:name w:val="header"/>
    <w:basedOn w:val="Normal"/>
    <w:link w:val="HeaderChar"/>
    <w:uiPriority w:val="99"/>
    <w:unhideWhenUsed/>
    <w:rsid w:val="00D35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7F"/>
  </w:style>
  <w:style w:type="paragraph" w:styleId="Footer">
    <w:name w:val="footer"/>
    <w:basedOn w:val="Normal"/>
    <w:link w:val="FooterChar"/>
    <w:uiPriority w:val="99"/>
    <w:unhideWhenUsed/>
    <w:rsid w:val="00D35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23</Pages>
  <Words>7835</Words>
  <Characters>44662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kumar</dc:creator>
  <cp:keywords/>
  <dc:description/>
  <cp:lastModifiedBy>Windows User</cp:lastModifiedBy>
  <cp:revision>10</cp:revision>
  <dcterms:created xsi:type="dcterms:W3CDTF">2020-03-18T06:03:00Z</dcterms:created>
  <dcterms:modified xsi:type="dcterms:W3CDTF">2020-03-19T14:59:00Z</dcterms:modified>
</cp:coreProperties>
</file>